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D4F78" w14:textId="77777777" w:rsidR="009E32CA" w:rsidRPr="00AC00ED" w:rsidRDefault="009E32CA" w:rsidP="009E32CA">
      <w:pPr>
        <w:jc w:val="center"/>
        <w:rPr>
          <w:b/>
          <w:sz w:val="32"/>
        </w:rPr>
      </w:pPr>
      <w:r w:rsidRPr="00AC00ED">
        <w:rPr>
          <w:b/>
          <w:sz w:val="32"/>
        </w:rPr>
        <w:t xml:space="preserve">Section 8 Existing Housing Program: </w:t>
      </w:r>
    </w:p>
    <w:p w14:paraId="511A80C8" w14:textId="4DFD6915" w:rsidR="009E32CA" w:rsidRPr="00AC00ED" w:rsidRDefault="009E32CA" w:rsidP="00A1150C">
      <w:pPr>
        <w:jc w:val="center"/>
        <w:rPr>
          <w:vertAlign w:val="superscript"/>
        </w:rPr>
      </w:pPr>
      <w:r w:rsidRPr="00AC00ED">
        <w:rPr>
          <w:b/>
          <w:sz w:val="32"/>
        </w:rPr>
        <w:t>Contract Rent Annual Adjustment Factors</w:t>
      </w:r>
      <w:r w:rsidR="00E23D1A" w:rsidRPr="00AC00ED">
        <w:rPr>
          <w:b/>
          <w:sz w:val="32"/>
        </w:rPr>
        <w:t xml:space="preserve"> Methodology</w:t>
      </w:r>
      <w:r w:rsidRPr="00AC00ED">
        <w:rPr>
          <w:rStyle w:val="FootnoteReference"/>
          <w:vertAlign w:val="superscript"/>
        </w:rPr>
        <w:footnoteReference w:id="2"/>
      </w:r>
      <w:r w:rsidRPr="00AC00ED">
        <w:rPr>
          <w:vertAlign w:val="superscript"/>
        </w:rPr>
        <w:t xml:space="preserve"> </w:t>
      </w:r>
    </w:p>
    <w:p w14:paraId="00CB5113" w14:textId="77777777" w:rsidR="009E32CA" w:rsidRPr="00AC00ED" w:rsidRDefault="009E32CA" w:rsidP="009E32CA"/>
    <w:p w14:paraId="12F20645" w14:textId="30B45A5C" w:rsidR="009E32CA" w:rsidRPr="00AC00ED" w:rsidRDefault="009E32CA" w:rsidP="009E32CA">
      <w:pPr>
        <w:tabs>
          <w:tab w:val="center" w:pos="4680"/>
        </w:tabs>
        <w:spacing w:line="252" w:lineRule="auto"/>
        <w:jc w:val="center"/>
      </w:pPr>
      <w:r w:rsidRPr="00AC00ED">
        <w:rPr>
          <w:b/>
          <w:sz w:val="28"/>
        </w:rPr>
        <w:t>1</w:t>
      </w:r>
      <w:r w:rsidR="00A1150C" w:rsidRPr="00AC00ED">
        <w:rPr>
          <w:b/>
          <w:sz w:val="28"/>
        </w:rPr>
        <w:t>. Overview</w:t>
      </w:r>
    </w:p>
    <w:p w14:paraId="69E739AA" w14:textId="77777777" w:rsidR="009E32CA" w:rsidRPr="00AC00ED" w:rsidRDefault="009E32CA" w:rsidP="009E32CA">
      <w:pPr>
        <w:spacing w:line="252" w:lineRule="auto"/>
      </w:pPr>
    </w:p>
    <w:p w14:paraId="70CAB3D3" w14:textId="3E889E9B" w:rsidR="000E5470" w:rsidRDefault="006444C0" w:rsidP="006444C0">
      <w:pPr>
        <w:spacing w:line="252" w:lineRule="auto"/>
        <w:ind w:firstLine="720"/>
      </w:pPr>
      <w:r>
        <w:t>The United States Housing Act of 1937 requires that certain assistance contracts signed by owners participating in the Department’s Section 8 housing assistance payment programs provide annual adjustments to monthly rentals for units covered by the contracts</w:t>
      </w:r>
      <w:r w:rsidR="00572DAD" w:rsidRPr="00AC00ED">
        <w:t xml:space="preserve">. Additionally, for owners subject to a Reserve for Replacement deposit requirement, the required deposit amount must also be adjusted annually using the same adjustment factor. The Department of Housing and Urban Development (HUD) develops the rent adjustment factors, called Annual Adjustment Factors (AAFs), on the basis of changes in </w:t>
      </w:r>
      <w:r w:rsidR="000E5470" w:rsidRPr="00AC00ED">
        <w:t>residential</w:t>
      </w:r>
      <w:r w:rsidR="00572DAD" w:rsidRPr="00AC00ED">
        <w:t xml:space="preserve"> rent and utility costs. </w:t>
      </w:r>
    </w:p>
    <w:p w14:paraId="5C4432F5" w14:textId="77777777" w:rsidR="000E5470" w:rsidRDefault="000E5470" w:rsidP="009E32CA">
      <w:pPr>
        <w:spacing w:line="252" w:lineRule="auto"/>
        <w:ind w:firstLine="720"/>
      </w:pPr>
    </w:p>
    <w:p w14:paraId="7B218F81" w14:textId="2B61A6AE" w:rsidR="009E32CA" w:rsidRPr="00AC00ED" w:rsidRDefault="00572DAD" w:rsidP="009E32CA">
      <w:pPr>
        <w:spacing w:line="252" w:lineRule="auto"/>
        <w:ind w:firstLine="720"/>
      </w:pPr>
      <w:r w:rsidRPr="00AC00ED">
        <w:t xml:space="preserve">HUD publishes the AAFs annually in the Federal Register. </w:t>
      </w:r>
      <w:r w:rsidR="009E32CA" w:rsidRPr="00AC00ED">
        <w:t>Specific details about how AAFs are applied can be found in notices published by HUD's Offices of Housing and of Public and Indian Housing; this paper concentrates on the rent indices</w:t>
      </w:r>
      <w:r w:rsidR="00673E2F" w:rsidRPr="00AC00ED">
        <w:t xml:space="preserve"> and methodology</w:t>
      </w:r>
      <w:r w:rsidR="009E32CA" w:rsidRPr="00AC00ED">
        <w:t xml:space="preserve"> used to update AAFs.</w:t>
      </w:r>
    </w:p>
    <w:p w14:paraId="518B4FC8" w14:textId="77777777" w:rsidR="009E32CA" w:rsidRPr="00AC00ED" w:rsidRDefault="009E32CA" w:rsidP="009E32CA">
      <w:pPr>
        <w:spacing w:line="252" w:lineRule="auto"/>
        <w:ind w:firstLine="720"/>
      </w:pPr>
    </w:p>
    <w:p w14:paraId="688098AD" w14:textId="4FBCBFA0" w:rsidR="009E32CA" w:rsidRPr="00AC00ED" w:rsidRDefault="007964B6" w:rsidP="009E32CA">
      <w:pPr>
        <w:spacing w:line="252" w:lineRule="auto"/>
        <w:ind w:firstLine="720"/>
      </w:pPr>
      <w:r w:rsidRPr="00AC00ED">
        <w:t>The AAFs are based on a formula using residential rent and utility cost changes from the most recent annual Bureau of Labor Statistics (BLS) Consumer Price Index (CPI) survey</w:t>
      </w:r>
      <w:r w:rsidR="005D67CF">
        <w:t>,</w:t>
      </w:r>
      <w:r w:rsidRPr="00AC00ED">
        <w:t xml:space="preserve"> and market rents from a total of six possible private sector rent data sources. AAFs were historically based on the shelter and gross rent inflation factors used in HUD’s Fair Market Rent (FMR) calculation. HUD maintained this practice by updating the AAF methodology in line with the FMR methodology changes that HUD</w:t>
      </w:r>
      <w:r w:rsidR="00C66CFC" w:rsidRPr="00AC00ED">
        <w:t xml:space="preserve"> first</w:t>
      </w:r>
      <w:r w:rsidRPr="00AC00ED">
        <w:t xml:space="preserve"> adopted for FY 2024</w:t>
      </w:r>
      <w:r w:rsidR="00C66CFC" w:rsidRPr="00AC00ED">
        <w:t xml:space="preserve"> to</w:t>
      </w:r>
      <w:r w:rsidR="00572DAD" w:rsidRPr="00AC00ED">
        <w:t xml:space="preserve"> include private </w:t>
      </w:r>
      <w:r w:rsidR="00C66CFC" w:rsidRPr="00AC00ED">
        <w:t>company rental data</w:t>
      </w:r>
      <w:r w:rsidRPr="00AC00ED">
        <w:t xml:space="preserve">. </w:t>
      </w:r>
    </w:p>
    <w:p w14:paraId="286E09B4" w14:textId="77777777" w:rsidR="009E32CA" w:rsidRPr="00AC00ED" w:rsidRDefault="009E32CA" w:rsidP="009E32CA">
      <w:pPr>
        <w:spacing w:line="252" w:lineRule="auto"/>
      </w:pPr>
    </w:p>
    <w:p w14:paraId="1F2EC2D9" w14:textId="6E894633" w:rsidR="009E32CA" w:rsidRPr="00AC00ED" w:rsidRDefault="009E32CA" w:rsidP="000E5470">
      <w:pPr>
        <w:spacing w:line="252" w:lineRule="auto"/>
        <w:ind w:firstLine="720"/>
      </w:pPr>
      <w:r w:rsidRPr="00AC00ED">
        <w:t>HUD's published AAFs are shown in two schedules, one for adjusting the rent of units where the highest-cost utility (usually heating)</w:t>
      </w:r>
      <w:r w:rsidRPr="00AC00ED">
        <w:rPr>
          <w:rStyle w:val="FootnoteReference"/>
          <w:vertAlign w:val="superscript"/>
        </w:rPr>
        <w:footnoteReference w:id="3"/>
      </w:r>
      <w:r w:rsidRPr="00AC00ED">
        <w:t xml:space="preserve"> is included in the contract rent (termed “Highest Utility Included” in the tables) and the other for units where the tenant pays for the highest-cost utility (“Highest Utility Excluded”). </w:t>
      </w:r>
      <w:r w:rsidRPr="00920019">
        <w:t xml:space="preserve">Separate AAF schedules are published for a total of: (a) about </w:t>
      </w:r>
      <w:r w:rsidR="00C04B45" w:rsidRPr="00920019">
        <w:t xml:space="preserve">600 </w:t>
      </w:r>
      <w:r w:rsidRPr="00920019">
        <w:t>separate metropolitan</w:t>
      </w:r>
      <w:r w:rsidR="00C04B45" w:rsidRPr="00920019">
        <w:t xml:space="preserve"> core-based statistical</w:t>
      </w:r>
      <w:r w:rsidRPr="00920019">
        <w:t xml:space="preserve"> areas, </w:t>
      </w:r>
      <w:r w:rsidR="00327236" w:rsidRPr="00920019">
        <w:t xml:space="preserve">and about </w:t>
      </w:r>
      <w:r w:rsidRPr="00920019">
        <w:t xml:space="preserve">(b) </w:t>
      </w:r>
      <w:r w:rsidR="00327236" w:rsidRPr="00920019">
        <w:t>2,000 nonmetropolitan counties</w:t>
      </w:r>
      <w:r w:rsidR="000333AA" w:rsidRPr="00920019">
        <w:t xml:space="preserve">. </w:t>
      </w:r>
    </w:p>
    <w:p w14:paraId="5FF5B7A0" w14:textId="77777777" w:rsidR="009E32CA" w:rsidRPr="00AC00ED" w:rsidRDefault="009E32CA" w:rsidP="009E32CA">
      <w:pPr>
        <w:spacing w:line="252" w:lineRule="auto"/>
      </w:pPr>
    </w:p>
    <w:p w14:paraId="70926930" w14:textId="77777777" w:rsidR="009E32CA" w:rsidRPr="00AC00ED" w:rsidRDefault="009E32CA" w:rsidP="009E32CA">
      <w:pPr>
        <w:spacing w:line="252" w:lineRule="auto"/>
      </w:pPr>
    </w:p>
    <w:p w14:paraId="3BDA3E24" w14:textId="64470686" w:rsidR="009E32CA" w:rsidRPr="00AC00ED" w:rsidRDefault="009E32CA" w:rsidP="009E32CA">
      <w:pPr>
        <w:keepNext/>
        <w:keepLines/>
        <w:tabs>
          <w:tab w:val="center" w:pos="4680"/>
        </w:tabs>
        <w:spacing w:line="252" w:lineRule="auto"/>
      </w:pPr>
      <w:r w:rsidRPr="00AC00ED">
        <w:rPr>
          <w:b/>
        </w:rPr>
        <w:lastRenderedPageBreak/>
        <w:tab/>
      </w:r>
      <w:r w:rsidRPr="00AC00ED">
        <w:rPr>
          <w:b/>
          <w:sz w:val="28"/>
        </w:rPr>
        <w:t>2</w:t>
      </w:r>
      <w:r w:rsidR="00F131D8" w:rsidRPr="00AC00ED">
        <w:rPr>
          <w:b/>
          <w:sz w:val="28"/>
        </w:rPr>
        <w:t>. CPI</w:t>
      </w:r>
      <w:r w:rsidRPr="00AC00ED">
        <w:rPr>
          <w:b/>
          <w:sz w:val="28"/>
        </w:rPr>
        <w:t>-Based Rent Indices</w:t>
      </w:r>
    </w:p>
    <w:p w14:paraId="3E8EAD8A" w14:textId="77777777" w:rsidR="009E32CA" w:rsidRPr="00AC00ED" w:rsidRDefault="009E32CA" w:rsidP="009E32CA">
      <w:pPr>
        <w:keepNext/>
        <w:keepLines/>
        <w:tabs>
          <w:tab w:val="center" w:pos="4680"/>
        </w:tabs>
        <w:spacing w:line="252" w:lineRule="auto"/>
        <w:rPr>
          <w:b/>
        </w:rPr>
      </w:pPr>
      <w:r w:rsidRPr="00AC00ED">
        <w:rPr>
          <w:b/>
        </w:rPr>
        <w:tab/>
      </w:r>
    </w:p>
    <w:p w14:paraId="02A46566" w14:textId="77777777" w:rsidR="009E32CA" w:rsidRPr="00AC00ED" w:rsidRDefault="009E32CA" w:rsidP="009E32CA">
      <w:pPr>
        <w:keepNext/>
        <w:keepLines/>
        <w:tabs>
          <w:tab w:val="center" w:pos="4680"/>
        </w:tabs>
        <w:spacing w:line="252" w:lineRule="auto"/>
      </w:pPr>
      <w:r w:rsidRPr="00AC00ED">
        <w:rPr>
          <w:b/>
        </w:rPr>
        <w:tab/>
      </w:r>
      <w:r w:rsidRPr="00AC00ED">
        <w:rPr>
          <w:b/>
          <w:sz w:val="28"/>
        </w:rPr>
        <w:t>2.1 Summary</w:t>
      </w:r>
    </w:p>
    <w:p w14:paraId="77D29A7F" w14:textId="77777777" w:rsidR="009E32CA" w:rsidRPr="00AC00ED" w:rsidRDefault="009E32CA" w:rsidP="009E32CA">
      <w:pPr>
        <w:keepNext/>
        <w:keepLines/>
        <w:spacing w:line="252" w:lineRule="auto"/>
      </w:pPr>
    </w:p>
    <w:p w14:paraId="657DECED" w14:textId="26C17385" w:rsidR="009E32CA" w:rsidRPr="00AC00ED" w:rsidRDefault="009E32CA" w:rsidP="009E32CA">
      <w:pPr>
        <w:keepNext/>
        <w:keepLines/>
        <w:spacing w:line="252" w:lineRule="auto"/>
        <w:ind w:firstLine="720"/>
      </w:pPr>
      <w:r w:rsidRPr="00AC00ED">
        <w:t xml:space="preserve">Consumer Price Index data on changes in residential rents and fuel and other utilities are available for a total of </w:t>
      </w:r>
      <w:r w:rsidR="00094921" w:rsidRPr="00AC00ED">
        <w:t xml:space="preserve">23 </w:t>
      </w:r>
      <w:r w:rsidR="00053006">
        <w:t xml:space="preserve">local CPI </w:t>
      </w:r>
      <w:r w:rsidRPr="00AC00ED">
        <w:t>areas</w:t>
      </w:r>
      <w:r w:rsidR="00FB1B62">
        <w:t xml:space="preserve"> and four Census Regions</w:t>
      </w:r>
      <w:r w:rsidR="001D7575">
        <w:t>.</w:t>
      </w:r>
      <w:r w:rsidRPr="00AC00ED">
        <w:t xml:space="preserve"> </w:t>
      </w:r>
      <w:r w:rsidR="00C84FA2">
        <w:t xml:space="preserve"> </w:t>
      </w:r>
      <w:r w:rsidRPr="00AC00ED">
        <w:t xml:space="preserve">For each area, </w:t>
      </w:r>
    </w:p>
    <w:p w14:paraId="2AF73B82" w14:textId="77777777" w:rsidR="009E32CA" w:rsidRPr="00AC00ED" w:rsidRDefault="009E32CA" w:rsidP="009E32CA">
      <w:pPr>
        <w:keepLines/>
        <w:spacing w:line="252" w:lineRule="auto"/>
      </w:pPr>
    </w:p>
    <w:p w14:paraId="69B2A3EB" w14:textId="77777777" w:rsidR="009E32CA" w:rsidRPr="00AC00ED" w:rsidRDefault="009E32CA" w:rsidP="009E32CA">
      <w:pPr>
        <w:pStyle w:val="BodyTextIndent"/>
      </w:pPr>
      <w:r w:rsidRPr="00AC00ED">
        <w:t>1.</w:t>
      </w:r>
      <w:r w:rsidRPr="00AC00ED">
        <w:tab/>
        <w:t>The change in the residential rent and utilities components are taken from the most recent CPI annual average change data;</w:t>
      </w:r>
    </w:p>
    <w:p w14:paraId="05476955" w14:textId="77777777" w:rsidR="009E32CA" w:rsidRPr="00AC00ED" w:rsidRDefault="009E32CA" w:rsidP="009E32CA">
      <w:pPr>
        <w:spacing w:line="252" w:lineRule="auto"/>
      </w:pPr>
    </w:p>
    <w:p w14:paraId="1FA09821" w14:textId="77777777" w:rsidR="009E32CA" w:rsidRPr="00AC00ED" w:rsidRDefault="009E32CA" w:rsidP="009E32CA">
      <w:pPr>
        <w:tabs>
          <w:tab w:val="left" w:pos="-1440"/>
        </w:tabs>
        <w:spacing w:line="252" w:lineRule="auto"/>
        <w:ind w:left="720" w:hanging="720"/>
      </w:pPr>
      <w:r w:rsidRPr="00AC00ED">
        <w:t>2.</w:t>
      </w:r>
      <w:r w:rsidRPr="00AC00ED">
        <w:tab/>
        <w:t xml:space="preserve">A shelter rent factor is calculated by eliminating the effect of the heating costs included in the rent of many CPI survey units; and </w:t>
      </w:r>
    </w:p>
    <w:p w14:paraId="6EF8F0F1" w14:textId="77777777" w:rsidR="009E32CA" w:rsidRPr="00AC00ED" w:rsidRDefault="009E32CA" w:rsidP="009E32CA">
      <w:pPr>
        <w:spacing w:line="252" w:lineRule="auto"/>
      </w:pPr>
    </w:p>
    <w:p w14:paraId="5F404E47" w14:textId="0C689F78" w:rsidR="009E32CA" w:rsidRPr="00AC00ED" w:rsidRDefault="009E32CA" w:rsidP="009E32CA">
      <w:pPr>
        <w:keepNext/>
        <w:keepLines/>
        <w:tabs>
          <w:tab w:val="left" w:pos="-1440"/>
        </w:tabs>
        <w:spacing w:line="252" w:lineRule="auto"/>
        <w:ind w:left="720" w:hanging="720"/>
      </w:pPr>
      <w:r w:rsidRPr="00AC00ED">
        <w:t>3.</w:t>
      </w:r>
      <w:r w:rsidRPr="00AC00ED">
        <w:tab/>
        <w:t xml:space="preserve">A gross rent factor is calculated by weighting the </w:t>
      </w:r>
      <w:r w:rsidR="00A21F58" w:rsidRPr="00AC00ED">
        <w:t xml:space="preserve">CPI </w:t>
      </w:r>
      <w:r w:rsidRPr="00AC00ED">
        <w:t xml:space="preserve">shelter rent and </w:t>
      </w:r>
      <w:r w:rsidR="00A21F58" w:rsidRPr="00AC00ED">
        <w:t xml:space="preserve">CPI </w:t>
      </w:r>
      <w:r w:rsidRPr="00AC00ED">
        <w:t xml:space="preserve">utility components with the corresponding components from the most recent American Community Survey (ACS). </w:t>
      </w:r>
    </w:p>
    <w:p w14:paraId="4107D608" w14:textId="77777777" w:rsidR="009E32CA" w:rsidRPr="00AC00ED" w:rsidRDefault="009E32CA" w:rsidP="009E32CA">
      <w:pPr>
        <w:keepNext/>
        <w:keepLines/>
        <w:tabs>
          <w:tab w:val="center" w:pos="4680"/>
        </w:tabs>
        <w:spacing w:line="252" w:lineRule="auto"/>
        <w:rPr>
          <w:b/>
        </w:rPr>
      </w:pPr>
    </w:p>
    <w:p w14:paraId="64AABB62" w14:textId="77777777" w:rsidR="009E32CA" w:rsidRPr="00AC00ED" w:rsidRDefault="009E32CA" w:rsidP="009E32CA">
      <w:pPr>
        <w:keepNext/>
        <w:keepLines/>
        <w:tabs>
          <w:tab w:val="center" w:pos="4680"/>
        </w:tabs>
        <w:spacing w:line="252" w:lineRule="auto"/>
      </w:pPr>
      <w:r w:rsidRPr="00AC00ED">
        <w:rPr>
          <w:b/>
        </w:rPr>
        <w:tab/>
      </w:r>
      <w:r w:rsidRPr="00AC00ED">
        <w:rPr>
          <w:b/>
          <w:sz w:val="28"/>
        </w:rPr>
        <w:t>2.2 Detailed Description</w:t>
      </w:r>
    </w:p>
    <w:p w14:paraId="04E38D93" w14:textId="77777777" w:rsidR="009E32CA" w:rsidRPr="00AC00ED" w:rsidRDefault="009E32CA" w:rsidP="009E32CA">
      <w:pPr>
        <w:keepNext/>
        <w:keepLines/>
        <w:spacing w:line="252" w:lineRule="auto"/>
      </w:pPr>
    </w:p>
    <w:p w14:paraId="28BAF441" w14:textId="77777777" w:rsidR="009E32CA" w:rsidRPr="00AC00ED" w:rsidRDefault="009E32CA" w:rsidP="009E32CA">
      <w:pPr>
        <w:keepNext/>
        <w:keepLines/>
        <w:spacing w:line="252" w:lineRule="auto"/>
      </w:pPr>
      <w:r w:rsidRPr="00AC00ED">
        <w:rPr>
          <w:b/>
        </w:rPr>
        <w:t>2.2.1</w:t>
      </w:r>
      <w:r w:rsidRPr="00AC00ED">
        <w:rPr>
          <w:b/>
        </w:rPr>
        <w:tab/>
        <w:t>The CPI Survey</w:t>
      </w:r>
    </w:p>
    <w:p w14:paraId="27392FC4" w14:textId="77777777" w:rsidR="009E32CA" w:rsidRPr="00AC00ED" w:rsidRDefault="009E32CA" w:rsidP="009E32CA">
      <w:pPr>
        <w:keepNext/>
        <w:keepLines/>
        <w:spacing w:line="252" w:lineRule="auto"/>
      </w:pPr>
    </w:p>
    <w:p w14:paraId="57EA36FC" w14:textId="417E63E0" w:rsidR="009E32CA" w:rsidRPr="00AC00ED" w:rsidRDefault="009E32CA" w:rsidP="009E32CA">
      <w:pPr>
        <w:keepLines/>
        <w:spacing w:line="252" w:lineRule="auto"/>
        <w:ind w:firstLine="720"/>
      </w:pPr>
      <w:r w:rsidRPr="00AC00ED">
        <w:t xml:space="preserve">The Consumer Price Index survey is conducted monthly by the Bureau of Labor </w:t>
      </w:r>
      <w:proofErr w:type="gramStart"/>
      <w:r w:rsidRPr="00AC00ED">
        <w:t>Statistics, and</w:t>
      </w:r>
      <w:proofErr w:type="gramEnd"/>
      <w:r w:rsidRPr="00AC00ED">
        <w:t xml:space="preserve"> made available in </w:t>
      </w:r>
      <w:proofErr w:type="gramStart"/>
      <w:r w:rsidRPr="00AC00ED">
        <w:t>early-February</w:t>
      </w:r>
      <w:proofErr w:type="gramEnd"/>
      <w:r w:rsidRPr="00AC00ED">
        <w:t xml:space="preserve"> of each year, covering the previous year.</w:t>
      </w:r>
      <w:r w:rsidRPr="00AC00ED">
        <w:rPr>
          <w:vertAlign w:val="superscript"/>
        </w:rPr>
        <w:t xml:space="preserve"> </w:t>
      </w:r>
      <w:r w:rsidRPr="00AC00ED">
        <w:t>The residential rent component of the CPI is based on a sample of about 50,000</w:t>
      </w:r>
      <w:r w:rsidR="00872C48" w:rsidRPr="00AC00ED">
        <w:t xml:space="preserve"> </w:t>
      </w:r>
      <w:r w:rsidRPr="00AC00ED">
        <w:t>rental units in urban areas throughout the country.</w:t>
      </w:r>
      <w:r w:rsidR="00872C48" w:rsidRPr="00AC00ED">
        <w:rPr>
          <w:rStyle w:val="FootnoteReference"/>
          <w:vertAlign w:val="superscript"/>
        </w:rPr>
        <w:footnoteReference w:id="4"/>
      </w:r>
      <w:r w:rsidRPr="00AC00ED">
        <w:rPr>
          <w:sz w:val="22"/>
          <w:szCs w:val="18"/>
          <w:vertAlign w:val="superscript"/>
        </w:rPr>
        <w:t xml:space="preserve"> </w:t>
      </w:r>
      <w:r w:rsidRPr="00AC00ED">
        <w:t xml:space="preserve">The fuel and other utilities component of the CPI, however, are not collected from renters.  Homeowners provide fuel and utilities survey data for each CPI area.  The change in these amounts are about the same regardless of whether or not it is paid by a homeowner or a renter. </w:t>
      </w:r>
    </w:p>
    <w:p w14:paraId="4F4C5802" w14:textId="77777777" w:rsidR="009E32CA" w:rsidRPr="00AC00ED" w:rsidRDefault="009E32CA" w:rsidP="009E32CA">
      <w:pPr>
        <w:spacing w:line="252" w:lineRule="auto"/>
      </w:pPr>
    </w:p>
    <w:p w14:paraId="3ED9253C" w14:textId="77777777" w:rsidR="009E32CA" w:rsidRPr="00AC00ED" w:rsidRDefault="009E32CA" w:rsidP="009E32CA">
      <w:pPr>
        <w:keepNext/>
        <w:keepLines/>
        <w:spacing w:line="252" w:lineRule="auto"/>
      </w:pPr>
      <w:r w:rsidRPr="00AC00ED">
        <w:rPr>
          <w:b/>
        </w:rPr>
        <w:t>2.2.2</w:t>
      </w:r>
      <w:r w:rsidRPr="00AC00ED">
        <w:rPr>
          <w:b/>
        </w:rPr>
        <w:tab/>
        <w:t>CPI and HUD Geography</w:t>
      </w:r>
    </w:p>
    <w:p w14:paraId="2B7646D7" w14:textId="77777777" w:rsidR="009E32CA" w:rsidRPr="00AC00ED" w:rsidRDefault="009E32CA" w:rsidP="009E32CA">
      <w:pPr>
        <w:keepNext/>
        <w:keepLines/>
        <w:spacing w:line="252" w:lineRule="auto"/>
      </w:pPr>
    </w:p>
    <w:p w14:paraId="6BD49119" w14:textId="1796B335" w:rsidR="00903D82" w:rsidRPr="00AC00ED" w:rsidRDefault="009E32CA" w:rsidP="00903D82">
      <w:r w:rsidRPr="00AC00ED">
        <w:t xml:space="preserve">The CPI survey is conducted at the </w:t>
      </w:r>
      <w:r w:rsidR="00F036CF" w:rsidRPr="00AC00ED">
        <w:t>Core-Based Statistical</w:t>
      </w:r>
      <w:r w:rsidRPr="00AC00ED">
        <w:t xml:space="preserve"> Area (</w:t>
      </w:r>
      <w:r w:rsidR="00F036CF" w:rsidRPr="00AC00ED">
        <w:t>CB</w:t>
      </w:r>
      <w:r w:rsidRPr="00AC00ED">
        <w:t>SA) level.</w:t>
      </w:r>
      <w:r w:rsidR="00D90EDC" w:rsidRPr="00AC00ED">
        <w:t xml:space="preserve"> </w:t>
      </w:r>
      <w:r w:rsidR="00903D82" w:rsidRPr="00AC00ED">
        <w:t xml:space="preserve">As of the 2018 geographic revision, the CPI sample consists of 75 urban areas, of which 23 are published at the CBSA level. HUD uses local CPI data for FMR areas within Class A metropolitan areas covered by local CPI data. </w:t>
      </w:r>
      <w:r w:rsidR="00D86FE0">
        <w:t>These local CPI areas correspond to</w:t>
      </w:r>
      <w:r w:rsidR="00D86FE0">
        <w:t xml:space="preserve"> </w:t>
      </w:r>
      <w:r w:rsidR="00D86FE0">
        <w:t xml:space="preserve">approximately 80 HUD-defined AAF areas, which </w:t>
      </w:r>
      <w:r w:rsidR="00D86FE0" w:rsidRPr="00AC00ED">
        <w:t>are the same as Fair Market Rent areas.</w:t>
      </w:r>
      <w:r w:rsidR="00D86FE0">
        <w:t xml:space="preserve"> </w:t>
      </w:r>
      <w:r w:rsidR="00903D82" w:rsidRPr="00AC00ED">
        <w:t xml:space="preserve">HUD uses CPI data aggregated at the Census region level for all Class B and C size metropolitan areas and non-metropolitan areas. </w:t>
      </w:r>
    </w:p>
    <w:p w14:paraId="5356FE7A" w14:textId="77777777" w:rsidR="009E32CA" w:rsidRPr="00AC00ED" w:rsidRDefault="009E32CA" w:rsidP="009E32CA">
      <w:pPr>
        <w:spacing w:line="252" w:lineRule="auto"/>
      </w:pPr>
    </w:p>
    <w:p w14:paraId="4B6D79FE" w14:textId="77777777" w:rsidR="009E32CA" w:rsidRPr="00AC00ED" w:rsidRDefault="009E32CA" w:rsidP="009E32CA">
      <w:pPr>
        <w:spacing w:line="252" w:lineRule="auto"/>
      </w:pPr>
      <w:r w:rsidRPr="00AC00ED">
        <w:rPr>
          <w:b/>
        </w:rPr>
        <w:t>2.2.3</w:t>
      </w:r>
      <w:r w:rsidRPr="00AC00ED">
        <w:rPr>
          <w:b/>
        </w:rPr>
        <w:tab/>
        <w:t>Shelter Rent Increase</w:t>
      </w:r>
      <w:r w:rsidRPr="00AC00ED">
        <w:t xml:space="preserve"> (Tenant Pays For Utilities)</w:t>
      </w:r>
    </w:p>
    <w:p w14:paraId="41EDDFC9" w14:textId="77777777" w:rsidR="009E32CA" w:rsidRPr="00AC00ED" w:rsidRDefault="009E32CA" w:rsidP="009E32CA">
      <w:pPr>
        <w:spacing w:line="252" w:lineRule="auto"/>
      </w:pPr>
    </w:p>
    <w:p w14:paraId="5DAF0C0B" w14:textId="5CD4D295" w:rsidR="009E32CA" w:rsidRPr="00AC00ED" w:rsidRDefault="009E32CA" w:rsidP="009E32CA">
      <w:pPr>
        <w:spacing w:line="252" w:lineRule="auto"/>
        <w:ind w:firstLine="720"/>
      </w:pPr>
      <w:r w:rsidRPr="00AC00ED">
        <w:t xml:space="preserve">The Residential Rent CPI index is a mixture of units with and without separate utility bills. For indexing purposes HUD first calculates a </w:t>
      </w:r>
      <w:r w:rsidRPr="00AC00ED">
        <w:rPr>
          <w:i/>
        </w:rPr>
        <w:t>Shelter Rent</w:t>
      </w:r>
      <w:r w:rsidRPr="00AC00ED">
        <w:t xml:space="preserve"> CPI for each of the CPI areas, which excludes the cost of heating, starting with the following formula:</w:t>
      </w:r>
    </w:p>
    <w:p w14:paraId="20CB5F3F" w14:textId="77777777" w:rsidR="00673E2F" w:rsidRPr="00AC00ED" w:rsidRDefault="00673E2F" w:rsidP="009E32CA">
      <w:pPr>
        <w:spacing w:line="252" w:lineRule="auto"/>
        <w:ind w:firstLine="720"/>
      </w:pPr>
    </w:p>
    <w:p w14:paraId="62338335" w14:textId="77777777" w:rsidR="00673E2F" w:rsidRPr="00445739" w:rsidRDefault="00673E2F" w:rsidP="00673E2F">
      <w:pPr>
        <w:keepNext/>
        <w:keepLines/>
        <w:spacing w:before="80"/>
        <w:outlineLvl w:val="2"/>
        <w:rPr>
          <w:rFonts w:eastAsiaTheme="majorEastAsia"/>
          <w:b/>
          <w:bCs/>
          <w:color w:val="000000" w:themeColor="text1"/>
        </w:rPr>
      </w:pPr>
      <w:r w:rsidRPr="00445739">
        <w:rPr>
          <w:rFonts w:eastAsiaTheme="majorEastAsia"/>
          <w:b/>
          <w:bCs/>
          <w:color w:val="000000" w:themeColor="text1"/>
        </w:rPr>
        <w:lastRenderedPageBreak/>
        <w:t xml:space="preserve">Shelter Rent Change: </w:t>
      </w:r>
      <w:r w:rsidRPr="00445739">
        <w:rPr>
          <w:rFonts w:eastAsiaTheme="majorEastAsia"/>
          <w:color w:val="000000" w:themeColor="text1"/>
        </w:rPr>
        <w:t>Decomposing CPI “Rent of primary residence" statistic to remove the influence of utilities from contract rents</w:t>
      </w:r>
    </w:p>
    <w:p w14:paraId="71C7F716" w14:textId="77815F35" w:rsidR="007E5C0D" w:rsidRDefault="007E5C0D" w:rsidP="00673E2F">
      <w:pPr>
        <w:spacing w:after="120" w:line="264" w:lineRule="auto"/>
      </w:pPr>
    </w:p>
    <w:tbl>
      <w:tblPr>
        <w:tblStyle w:val="TableGrid"/>
        <w:tblW w:w="0" w:type="auto"/>
        <w:tblInd w:w="1345" w:type="dxa"/>
        <w:tblLook w:val="04A0" w:firstRow="1" w:lastRow="0" w:firstColumn="1" w:lastColumn="0" w:noHBand="0" w:noVBand="1"/>
      </w:tblPr>
      <w:tblGrid>
        <w:gridCol w:w="6390"/>
      </w:tblGrid>
      <w:tr w:rsidR="007E5C0D" w:rsidRPr="004A654D" w14:paraId="6C6413D4" w14:textId="77777777" w:rsidTr="00545363">
        <w:trPr>
          <w:trHeight w:val="1020"/>
        </w:trPr>
        <w:tc>
          <w:tcPr>
            <w:tcW w:w="6390" w:type="dxa"/>
          </w:tcPr>
          <w:p w14:paraId="08D88842" w14:textId="77777777" w:rsidR="007E5C0D" w:rsidRPr="00AC00ED" w:rsidRDefault="007E5C0D" w:rsidP="007E5C0D">
            <w:pPr>
              <w:widowControl/>
              <w:numPr>
                <w:ilvl w:val="0"/>
                <w:numId w:val="1"/>
              </w:numPr>
              <w:spacing w:after="120" w:line="264" w:lineRule="auto"/>
              <w:contextualSpacing/>
              <w:jc w:val="both"/>
            </w:pPr>
            <w:r w:rsidRPr="00AC00ED">
              <w:t xml:space="preserve">RPR= (1- </w:t>
            </w:r>
            <w:proofErr w:type="spellStart"/>
            <w:r w:rsidRPr="00AC00ED">
              <w:t>GR</w:t>
            </w:r>
            <w:r w:rsidRPr="00AC00ED">
              <w:rPr>
                <w:vertAlign w:val="subscript"/>
              </w:rPr>
              <w:t>w</w:t>
            </w:r>
            <w:proofErr w:type="spellEnd"/>
            <w:r w:rsidRPr="00AC00ED">
              <w:t xml:space="preserve">) * </w:t>
            </w:r>
            <w:r w:rsidRPr="00AC00ED">
              <w:rPr>
                <w:color w:val="FF0000"/>
                <w:lang w:val="nl-NL"/>
              </w:rPr>
              <w:t>SR</w:t>
            </w:r>
            <w:r w:rsidRPr="00AC00ED">
              <w:t xml:space="preserve">+ </w:t>
            </w:r>
            <w:proofErr w:type="spellStart"/>
            <w:r w:rsidRPr="00AC00ED">
              <w:t>GR</w:t>
            </w:r>
            <w:r w:rsidRPr="00AC00ED">
              <w:rPr>
                <w:vertAlign w:val="subscript"/>
              </w:rPr>
              <w:t>w</w:t>
            </w:r>
            <w:proofErr w:type="spellEnd"/>
            <w:r w:rsidRPr="00AC00ED">
              <w:t xml:space="preserve"> * </w:t>
            </w:r>
            <w:r w:rsidRPr="00AC00ED">
              <w:rPr>
                <w:color w:val="FF0000"/>
                <w:lang w:val="nl-NL"/>
              </w:rPr>
              <w:t>GR</w:t>
            </w:r>
          </w:p>
          <w:p w14:paraId="75F00478" w14:textId="77777777" w:rsidR="007E5C0D" w:rsidRPr="00AC00ED" w:rsidRDefault="007E5C0D" w:rsidP="007E5C0D">
            <w:pPr>
              <w:widowControl/>
              <w:numPr>
                <w:ilvl w:val="0"/>
                <w:numId w:val="1"/>
              </w:numPr>
              <w:spacing w:line="264" w:lineRule="auto"/>
              <w:contextualSpacing/>
              <w:jc w:val="both"/>
              <w:rPr>
                <w:lang w:val="nl-NL"/>
              </w:rPr>
            </w:pPr>
            <w:r w:rsidRPr="00AC00ED">
              <w:rPr>
                <w:lang w:val="nl-NL"/>
              </w:rPr>
              <w:t>RPR= (1- GR</w:t>
            </w:r>
            <w:r w:rsidRPr="00AC00ED">
              <w:rPr>
                <w:vertAlign w:val="subscript"/>
                <w:lang w:val="nl-NL"/>
              </w:rPr>
              <w:t>w</w:t>
            </w:r>
            <w:r w:rsidRPr="00AC00ED">
              <w:rPr>
                <w:lang w:val="nl-NL"/>
              </w:rPr>
              <w:t xml:space="preserve">) * </w:t>
            </w:r>
            <w:r w:rsidRPr="00AC00ED">
              <w:rPr>
                <w:color w:val="FF0000"/>
                <w:lang w:val="nl-NL"/>
              </w:rPr>
              <w:t>SR</w:t>
            </w:r>
            <w:r w:rsidRPr="00AC00ED">
              <w:rPr>
                <w:lang w:val="nl-NL"/>
              </w:rPr>
              <w:t>+ GR</w:t>
            </w:r>
            <w:r w:rsidRPr="00AC00ED">
              <w:rPr>
                <w:vertAlign w:val="subscript"/>
                <w:lang w:val="nl-NL"/>
              </w:rPr>
              <w:t>w</w:t>
            </w:r>
            <w:r w:rsidRPr="00AC00ED">
              <w:rPr>
                <w:lang w:val="nl-NL"/>
              </w:rPr>
              <w:t xml:space="preserve"> * [(1 - U</w:t>
            </w:r>
            <w:r w:rsidRPr="00AC00ED">
              <w:rPr>
                <w:vertAlign w:val="subscript"/>
                <w:lang w:val="nl-NL"/>
              </w:rPr>
              <w:t>w</w:t>
            </w:r>
            <w:r w:rsidRPr="00AC00ED">
              <w:rPr>
                <w:lang w:val="nl-NL"/>
              </w:rPr>
              <w:t xml:space="preserve">) * </w:t>
            </w:r>
            <w:r w:rsidRPr="00AC00ED">
              <w:rPr>
                <w:color w:val="FF0000"/>
                <w:lang w:val="nl-NL"/>
              </w:rPr>
              <w:t>SR</w:t>
            </w:r>
            <w:r w:rsidRPr="00AC00ED">
              <w:rPr>
                <w:lang w:val="nl-NL"/>
              </w:rPr>
              <w:t>+ U</w:t>
            </w:r>
            <w:r w:rsidRPr="00AC00ED">
              <w:rPr>
                <w:vertAlign w:val="subscript"/>
                <w:lang w:val="nl-NL"/>
              </w:rPr>
              <w:t>w</w:t>
            </w:r>
            <w:r w:rsidRPr="00AC00ED">
              <w:rPr>
                <w:lang w:val="nl-NL"/>
              </w:rPr>
              <w:t xml:space="preserve"> * U]</w:t>
            </w:r>
          </w:p>
          <w:p w14:paraId="3B66A8BC" w14:textId="2C6D888B" w:rsidR="007E5C0D" w:rsidRPr="004A654D" w:rsidRDefault="007E5C0D" w:rsidP="007E5C0D">
            <w:pPr>
              <w:widowControl/>
              <w:numPr>
                <w:ilvl w:val="0"/>
                <w:numId w:val="1"/>
              </w:numPr>
              <w:spacing w:line="264" w:lineRule="auto"/>
              <w:contextualSpacing/>
              <w:jc w:val="both"/>
            </w:pPr>
            <w:r w:rsidRPr="7C40A2E6">
              <w:rPr>
                <w:color w:val="FF0000"/>
              </w:rPr>
              <w:t>SR</w:t>
            </w:r>
            <w:r w:rsidRPr="7C40A2E6">
              <w:t>= [ RPR - (</w:t>
            </w:r>
            <w:proofErr w:type="spellStart"/>
            <w:r w:rsidRPr="7C40A2E6">
              <w:t>GR</w:t>
            </w:r>
            <w:r w:rsidRPr="7C40A2E6">
              <w:rPr>
                <w:vertAlign w:val="subscript"/>
              </w:rPr>
              <w:t>w</w:t>
            </w:r>
            <w:proofErr w:type="spellEnd"/>
            <w:r w:rsidRPr="7C40A2E6">
              <w:t xml:space="preserve"> x </w:t>
            </w:r>
            <w:proofErr w:type="spellStart"/>
            <w:r w:rsidRPr="7C40A2E6">
              <w:t>U</w:t>
            </w:r>
            <w:r w:rsidRPr="7C40A2E6">
              <w:rPr>
                <w:vertAlign w:val="subscript"/>
              </w:rPr>
              <w:t>w</w:t>
            </w:r>
            <w:proofErr w:type="spellEnd"/>
            <w:r w:rsidRPr="7C40A2E6">
              <w:t xml:space="preserve"> x U) ] / [ 1 - (</w:t>
            </w:r>
            <w:proofErr w:type="spellStart"/>
            <w:r w:rsidRPr="7C40A2E6">
              <w:t>GR</w:t>
            </w:r>
            <w:r w:rsidRPr="7C40A2E6">
              <w:rPr>
                <w:vertAlign w:val="subscript"/>
              </w:rPr>
              <w:t>w</w:t>
            </w:r>
            <w:proofErr w:type="spellEnd"/>
            <w:r w:rsidRPr="7C40A2E6">
              <w:t xml:space="preserve"> x </w:t>
            </w:r>
            <w:proofErr w:type="spellStart"/>
            <w:r w:rsidRPr="7C40A2E6">
              <w:t>U</w:t>
            </w:r>
            <w:r w:rsidRPr="7C40A2E6">
              <w:rPr>
                <w:vertAlign w:val="subscript"/>
              </w:rPr>
              <w:t>w</w:t>
            </w:r>
            <w:proofErr w:type="spellEnd"/>
            <w:r w:rsidRPr="7C40A2E6">
              <w:t>) ]</w:t>
            </w:r>
          </w:p>
        </w:tc>
      </w:tr>
    </w:tbl>
    <w:p w14:paraId="66565A4D" w14:textId="77777777" w:rsidR="00673E2F" w:rsidRPr="00AC00ED" w:rsidRDefault="00673E2F" w:rsidP="00545363">
      <w:pPr>
        <w:spacing w:after="120" w:line="264" w:lineRule="auto"/>
        <w:contextualSpacing/>
        <w:rPr>
          <w:lang w:val="nl-NL"/>
        </w:rPr>
      </w:pPr>
    </w:p>
    <w:p w14:paraId="19D33BF4" w14:textId="77777777" w:rsidR="00673E2F" w:rsidRPr="00AC00ED" w:rsidRDefault="00673E2F" w:rsidP="00673E2F">
      <w:pPr>
        <w:spacing w:after="120" w:line="264" w:lineRule="auto"/>
      </w:pPr>
      <w:r w:rsidRPr="00AC00ED">
        <w:rPr>
          <w:b/>
        </w:rPr>
        <w:t>GR</w:t>
      </w:r>
      <w:r w:rsidRPr="00AC00ED">
        <w:t xml:space="preserve"> is the change in gross rents from year to year (unknown);</w:t>
      </w:r>
    </w:p>
    <w:p w14:paraId="57AFBC68" w14:textId="009C0BCF" w:rsidR="00673E2F" w:rsidRPr="00AC00ED" w:rsidRDefault="00673E2F" w:rsidP="00673E2F">
      <w:pPr>
        <w:spacing w:after="120" w:line="264" w:lineRule="auto"/>
      </w:pPr>
      <w:proofErr w:type="spellStart"/>
      <w:r w:rsidRPr="00AC00ED">
        <w:rPr>
          <w:b/>
        </w:rPr>
        <w:t>GR</w:t>
      </w:r>
      <w:r w:rsidRPr="00AC00ED">
        <w:rPr>
          <w:b/>
          <w:vertAlign w:val="subscript"/>
        </w:rPr>
        <w:t>w</w:t>
      </w:r>
      <w:proofErr w:type="spellEnd"/>
      <w:r w:rsidRPr="00AC00ED">
        <w:t xml:space="preserve"> is the fraction of renters who pay gross rents (known from a special tabulation of Consumer Price Index Housing Survey Data provided by the BLS each year to HUD);</w:t>
      </w:r>
    </w:p>
    <w:p w14:paraId="0BDBC78A" w14:textId="77777777" w:rsidR="00673E2F" w:rsidRPr="00AC00ED" w:rsidRDefault="00673E2F" w:rsidP="00673E2F">
      <w:pPr>
        <w:spacing w:after="120" w:line="264" w:lineRule="auto"/>
      </w:pPr>
      <w:r w:rsidRPr="00AC00ED">
        <w:rPr>
          <w:b/>
        </w:rPr>
        <w:t xml:space="preserve">RPR </w:t>
      </w:r>
      <w:r w:rsidRPr="00AC00ED">
        <w:t>is the change in contract rents from year to year (known from the BLS CPI Series the “Rent of Primary Residence” -BLS Code SEHA);</w:t>
      </w:r>
    </w:p>
    <w:p w14:paraId="09829FE0" w14:textId="77777777" w:rsidR="00673E2F" w:rsidRPr="00AC00ED" w:rsidRDefault="00673E2F" w:rsidP="00673E2F">
      <w:pPr>
        <w:spacing w:after="120" w:line="264" w:lineRule="auto"/>
      </w:pPr>
      <w:r w:rsidRPr="00AC00ED">
        <w:rPr>
          <w:b/>
        </w:rPr>
        <w:t>SR</w:t>
      </w:r>
      <w:r w:rsidRPr="00AC00ED">
        <w:t xml:space="preserve"> is the change in CPI shelter rents from year to year (unknown);</w:t>
      </w:r>
    </w:p>
    <w:p w14:paraId="733C0454" w14:textId="77777777" w:rsidR="00673E2F" w:rsidRPr="00AC00ED" w:rsidRDefault="00673E2F" w:rsidP="00673E2F">
      <w:pPr>
        <w:spacing w:after="120" w:line="264" w:lineRule="auto"/>
        <w:rPr>
          <w:b/>
          <w:bCs/>
        </w:rPr>
      </w:pPr>
      <w:r w:rsidRPr="00AC00ED">
        <w:rPr>
          <w:b/>
        </w:rPr>
        <w:t>U</w:t>
      </w:r>
      <w:r w:rsidRPr="00AC00ED">
        <w:t xml:space="preserve"> is the change in utility costs from year to year (known from the BLS CPI Series the “Housing – Fuels and Utilities” – BLS Code SAH2)</w:t>
      </w:r>
      <w:r w:rsidRPr="00AC00ED">
        <w:rPr>
          <w:b/>
          <w:bCs/>
        </w:rPr>
        <w:t>;</w:t>
      </w:r>
    </w:p>
    <w:p w14:paraId="2A2623BC" w14:textId="5D3897AC" w:rsidR="00673E2F" w:rsidRDefault="00673E2F" w:rsidP="00A91AC0">
      <w:pPr>
        <w:spacing w:after="120" w:line="264" w:lineRule="auto"/>
      </w:pPr>
      <w:proofErr w:type="spellStart"/>
      <w:r w:rsidRPr="00AC00ED">
        <w:rPr>
          <w:b/>
          <w:bCs/>
        </w:rPr>
        <w:t>U</w:t>
      </w:r>
      <w:r w:rsidRPr="00AC00ED">
        <w:rPr>
          <w:b/>
          <w:bCs/>
          <w:vertAlign w:val="subscript"/>
        </w:rPr>
        <w:t>w</w:t>
      </w:r>
      <w:proofErr w:type="spellEnd"/>
      <w:r w:rsidRPr="00AC00ED">
        <w:t xml:space="preserve"> is the fraction of gross rents attributable to utilities for CPI areas (CBSAs).</w:t>
      </w:r>
    </w:p>
    <w:p w14:paraId="7B7006ED" w14:textId="77777777" w:rsidR="009E32CA" w:rsidRPr="00AC00ED" w:rsidRDefault="009E32CA" w:rsidP="009E32CA">
      <w:pPr>
        <w:keepNext/>
        <w:keepLines/>
        <w:spacing w:line="252" w:lineRule="auto"/>
        <w:rPr>
          <w:b/>
        </w:rPr>
      </w:pPr>
    </w:p>
    <w:p w14:paraId="4A20155F" w14:textId="22D7CB71" w:rsidR="009E32CA" w:rsidRPr="00AC00ED" w:rsidRDefault="009E32CA" w:rsidP="009E32CA">
      <w:pPr>
        <w:keepNext/>
        <w:keepLines/>
        <w:spacing w:line="252" w:lineRule="auto"/>
      </w:pPr>
      <w:r w:rsidRPr="00AC00ED">
        <w:rPr>
          <w:b/>
        </w:rPr>
        <w:t>2.2.4</w:t>
      </w:r>
      <w:r w:rsidRPr="00AC00ED">
        <w:rPr>
          <w:b/>
        </w:rPr>
        <w:tab/>
        <w:t>Gross Rent Increase Factor</w:t>
      </w:r>
      <w:r w:rsidRPr="00AC00ED">
        <w:t xml:space="preserve"> (Landlord Pays For Utilities)</w:t>
      </w:r>
    </w:p>
    <w:p w14:paraId="4BE0AC30" w14:textId="77777777" w:rsidR="009E32CA" w:rsidRPr="00AC00ED" w:rsidRDefault="009E32CA" w:rsidP="009E32CA">
      <w:pPr>
        <w:keepNext/>
        <w:keepLines/>
        <w:spacing w:line="252" w:lineRule="auto"/>
      </w:pPr>
    </w:p>
    <w:p w14:paraId="053A7CA4" w14:textId="77777777" w:rsidR="009E32CA" w:rsidRPr="00AC00ED" w:rsidRDefault="009E32CA" w:rsidP="009E32CA">
      <w:pPr>
        <w:keepLines/>
        <w:spacing w:line="252" w:lineRule="auto"/>
        <w:ind w:firstLine="720"/>
      </w:pPr>
      <w:r w:rsidRPr="00AC00ED">
        <w:t>For units where the landlord supplies utilities as part of the rent, a gross rent increase factor is calculated.  Using the same variables as above, and the calculated value of the shelter rent increase factor (R), the</w:t>
      </w:r>
      <w:r w:rsidRPr="00AC00ED">
        <w:rPr>
          <w:i/>
        </w:rPr>
        <w:t xml:space="preserve"> </w:t>
      </w:r>
      <w:r w:rsidRPr="00AC00ED">
        <w:rPr>
          <w:b/>
          <w:i/>
        </w:rPr>
        <w:t>gross rent increase</w:t>
      </w:r>
      <w:r w:rsidRPr="00AC00ED">
        <w:rPr>
          <w:i/>
        </w:rPr>
        <w:t xml:space="preserve"> factor</w:t>
      </w:r>
      <w:r w:rsidRPr="00AC00ED">
        <w:t xml:space="preserve"> is: </w:t>
      </w:r>
    </w:p>
    <w:p w14:paraId="22F8A183" w14:textId="77777777" w:rsidR="00673E2F" w:rsidRPr="00AC00ED" w:rsidRDefault="00673E2F" w:rsidP="009E32CA">
      <w:pPr>
        <w:keepLines/>
        <w:spacing w:line="252" w:lineRule="auto"/>
        <w:ind w:firstLine="720"/>
      </w:pPr>
    </w:p>
    <w:p w14:paraId="07E3A955" w14:textId="77777777" w:rsidR="00673E2F" w:rsidRPr="00445739" w:rsidRDefault="00673E2F" w:rsidP="00673E2F">
      <w:pPr>
        <w:keepNext/>
        <w:keepLines/>
        <w:spacing w:before="80"/>
        <w:outlineLvl w:val="2"/>
        <w:rPr>
          <w:rFonts w:eastAsiaTheme="majorEastAsia"/>
          <w:color w:val="000000" w:themeColor="text1"/>
        </w:rPr>
      </w:pPr>
      <w:r w:rsidRPr="00445739">
        <w:rPr>
          <w:rFonts w:eastAsiaTheme="majorEastAsia"/>
          <w:b/>
          <w:bCs/>
          <w:color w:val="000000" w:themeColor="text1"/>
        </w:rPr>
        <w:t xml:space="preserve">CPI Gross Rent Change: </w:t>
      </w:r>
      <w:r w:rsidRPr="00445739">
        <w:rPr>
          <w:rFonts w:eastAsiaTheme="majorEastAsia"/>
          <w:color w:val="000000" w:themeColor="text1"/>
        </w:rPr>
        <w:t>a weighted average of the change in area CPI shelter rents and the change in CPI utility costs</w:t>
      </w:r>
    </w:p>
    <w:p w14:paraId="43E3D355" w14:textId="07A45AF5" w:rsidR="00673E2F" w:rsidRDefault="00673E2F" w:rsidP="00673E2F">
      <w:pPr>
        <w:spacing w:after="120" w:line="264" w:lineRule="auto"/>
        <w:ind w:left="720"/>
      </w:pPr>
      <w:r w:rsidRPr="00AC00ED">
        <w:t xml:space="preserve">    </w:t>
      </w:r>
      <w:r w:rsidRPr="00AC00ED">
        <w:rPr>
          <w:color w:val="C00000"/>
        </w:rPr>
        <w:tab/>
      </w:r>
    </w:p>
    <w:tbl>
      <w:tblPr>
        <w:tblStyle w:val="TableGrid"/>
        <w:tblW w:w="0" w:type="auto"/>
        <w:jc w:val="center"/>
        <w:tblLook w:val="04A0" w:firstRow="1" w:lastRow="0" w:firstColumn="1" w:lastColumn="0" w:noHBand="0" w:noVBand="1"/>
      </w:tblPr>
      <w:tblGrid>
        <w:gridCol w:w="3415"/>
      </w:tblGrid>
      <w:tr w:rsidR="00A91AC0" w:rsidRPr="004A654D" w14:paraId="7B335349" w14:textId="77777777" w:rsidTr="00847924">
        <w:trPr>
          <w:jc w:val="center"/>
        </w:trPr>
        <w:tc>
          <w:tcPr>
            <w:tcW w:w="3415" w:type="dxa"/>
          </w:tcPr>
          <w:p w14:paraId="08CB52C7" w14:textId="0591754B" w:rsidR="00A91AC0" w:rsidRPr="00954C2C" w:rsidRDefault="00A91AC0" w:rsidP="00673E2F">
            <w:pPr>
              <w:spacing w:after="120" w:line="264" w:lineRule="auto"/>
            </w:pPr>
            <w:r w:rsidRPr="00954C2C">
              <w:rPr>
                <w:color w:val="C00000"/>
              </w:rPr>
              <w:t>GR</w:t>
            </w:r>
            <w:r w:rsidRPr="00954C2C">
              <w:t xml:space="preserve"> = (1 - </w:t>
            </w:r>
            <w:proofErr w:type="spellStart"/>
            <w:r w:rsidRPr="00954C2C">
              <w:t>U</w:t>
            </w:r>
            <w:r w:rsidRPr="00954C2C">
              <w:rPr>
                <w:vertAlign w:val="subscript"/>
              </w:rPr>
              <w:t>w</w:t>
            </w:r>
            <w:proofErr w:type="spellEnd"/>
            <w:r w:rsidRPr="00954C2C">
              <w:t xml:space="preserve">) * </w:t>
            </w:r>
            <w:r w:rsidRPr="00954C2C">
              <w:rPr>
                <w:color w:val="C00000"/>
              </w:rPr>
              <w:t>SR</w:t>
            </w:r>
            <w:r w:rsidRPr="00954C2C">
              <w:t xml:space="preserve">+ </w:t>
            </w:r>
            <w:proofErr w:type="spellStart"/>
            <w:r w:rsidRPr="00954C2C">
              <w:t>U</w:t>
            </w:r>
            <w:r w:rsidRPr="00954C2C">
              <w:rPr>
                <w:vertAlign w:val="subscript"/>
              </w:rPr>
              <w:t>w</w:t>
            </w:r>
            <w:proofErr w:type="spellEnd"/>
            <w:r w:rsidRPr="00954C2C">
              <w:rPr>
                <w:vertAlign w:val="subscript"/>
              </w:rPr>
              <w:t xml:space="preserve"> </w:t>
            </w:r>
            <w:r w:rsidRPr="00954C2C">
              <w:t>* U</w:t>
            </w:r>
            <w:r w:rsidRPr="00AC00ED">
              <w:t>Δ</w:t>
            </w:r>
          </w:p>
        </w:tc>
      </w:tr>
    </w:tbl>
    <w:p w14:paraId="65B215EA" w14:textId="77777777" w:rsidR="00545363" w:rsidRPr="00954C2C" w:rsidRDefault="00545363" w:rsidP="00673E2F">
      <w:pPr>
        <w:spacing w:after="120" w:line="264" w:lineRule="auto"/>
        <w:ind w:left="720"/>
      </w:pPr>
    </w:p>
    <w:p w14:paraId="078D7AF3" w14:textId="77777777" w:rsidR="00A91AC0" w:rsidRPr="00954C2C" w:rsidRDefault="00A91AC0" w:rsidP="00673E2F">
      <w:pPr>
        <w:spacing w:after="120" w:line="264" w:lineRule="auto"/>
        <w:ind w:left="720"/>
      </w:pPr>
    </w:p>
    <w:p w14:paraId="2B2E8B0A" w14:textId="77777777" w:rsidR="00A91AC0" w:rsidRPr="00954C2C" w:rsidRDefault="00A91AC0" w:rsidP="00673E2F">
      <w:pPr>
        <w:spacing w:after="120" w:line="264" w:lineRule="auto"/>
        <w:ind w:left="720"/>
      </w:pPr>
    </w:p>
    <w:p w14:paraId="08879936" w14:textId="77777777" w:rsidR="00A91AC0" w:rsidRPr="00954C2C" w:rsidRDefault="00A91AC0" w:rsidP="00673E2F">
      <w:pPr>
        <w:spacing w:after="120" w:line="264" w:lineRule="auto"/>
        <w:ind w:left="720"/>
      </w:pPr>
    </w:p>
    <w:p w14:paraId="7EB618AB" w14:textId="77777777" w:rsidR="00A91AC0" w:rsidRPr="00954C2C" w:rsidRDefault="00A91AC0" w:rsidP="00673E2F">
      <w:pPr>
        <w:spacing w:after="120" w:line="264" w:lineRule="auto"/>
        <w:ind w:left="720"/>
      </w:pPr>
    </w:p>
    <w:p w14:paraId="0A21C800" w14:textId="77777777" w:rsidR="00A91AC0" w:rsidRDefault="00A91AC0" w:rsidP="00673E2F">
      <w:pPr>
        <w:spacing w:after="120" w:line="264" w:lineRule="auto"/>
        <w:ind w:left="720"/>
      </w:pPr>
    </w:p>
    <w:p w14:paraId="75BB2C38" w14:textId="77777777" w:rsidR="00847B3A" w:rsidRDefault="00847B3A" w:rsidP="00673E2F">
      <w:pPr>
        <w:spacing w:after="120" w:line="264" w:lineRule="auto"/>
        <w:ind w:left="720"/>
      </w:pPr>
    </w:p>
    <w:p w14:paraId="1FDFBA8F" w14:textId="77777777" w:rsidR="00847B3A" w:rsidRDefault="00847B3A" w:rsidP="00673E2F">
      <w:pPr>
        <w:spacing w:after="120" w:line="264" w:lineRule="auto"/>
        <w:ind w:left="720"/>
      </w:pPr>
    </w:p>
    <w:p w14:paraId="6E1730A5" w14:textId="77777777" w:rsidR="00847B3A" w:rsidRPr="00954C2C" w:rsidRDefault="00847B3A" w:rsidP="00673E2F">
      <w:pPr>
        <w:spacing w:after="120" w:line="264" w:lineRule="auto"/>
        <w:ind w:left="720"/>
      </w:pPr>
    </w:p>
    <w:p w14:paraId="6406680A" w14:textId="77777777" w:rsidR="009E32CA" w:rsidRPr="00954C2C" w:rsidRDefault="009E32CA" w:rsidP="009E32CA">
      <w:pPr>
        <w:spacing w:line="252" w:lineRule="auto"/>
      </w:pPr>
    </w:p>
    <w:p w14:paraId="293E4A81" w14:textId="2B5AB1F9" w:rsidR="009E32CA" w:rsidRPr="00AC00ED" w:rsidRDefault="009E32CA" w:rsidP="009E32CA">
      <w:pPr>
        <w:spacing w:line="252" w:lineRule="auto"/>
        <w:jc w:val="center"/>
        <w:rPr>
          <w:b/>
          <w:sz w:val="28"/>
        </w:rPr>
      </w:pPr>
      <w:r w:rsidRPr="00AC00ED">
        <w:rPr>
          <w:b/>
          <w:sz w:val="28"/>
        </w:rPr>
        <w:lastRenderedPageBreak/>
        <w:t>3</w:t>
      </w:r>
      <w:r w:rsidR="00A91AC0" w:rsidRPr="00AC00ED">
        <w:rPr>
          <w:b/>
          <w:sz w:val="28"/>
        </w:rPr>
        <w:t>. Private</w:t>
      </w:r>
      <w:r w:rsidRPr="00AC00ED">
        <w:rPr>
          <w:b/>
          <w:sz w:val="28"/>
        </w:rPr>
        <w:t xml:space="preserve"> Source-Based Rent Indices</w:t>
      </w:r>
    </w:p>
    <w:p w14:paraId="4ECB0DBB" w14:textId="77777777" w:rsidR="009E32CA" w:rsidRPr="00AC00ED" w:rsidRDefault="009E32CA" w:rsidP="009E32CA">
      <w:pPr>
        <w:keepNext/>
        <w:keepLines/>
        <w:tabs>
          <w:tab w:val="center" w:pos="4680"/>
        </w:tabs>
        <w:spacing w:line="252" w:lineRule="auto"/>
        <w:rPr>
          <w:b/>
        </w:rPr>
      </w:pPr>
      <w:r w:rsidRPr="00AC00ED">
        <w:rPr>
          <w:b/>
        </w:rPr>
        <w:tab/>
      </w:r>
    </w:p>
    <w:p w14:paraId="5EDA945A" w14:textId="5273EFA6" w:rsidR="009E32CA" w:rsidRPr="00AC00ED" w:rsidRDefault="009E32CA" w:rsidP="009E32CA">
      <w:pPr>
        <w:keepNext/>
        <w:keepLines/>
        <w:tabs>
          <w:tab w:val="center" w:pos="4680"/>
        </w:tabs>
        <w:spacing w:line="252" w:lineRule="auto"/>
      </w:pPr>
      <w:r w:rsidRPr="00AC00ED">
        <w:rPr>
          <w:b/>
        </w:rPr>
        <w:tab/>
      </w:r>
      <w:r w:rsidRPr="00AC00ED">
        <w:rPr>
          <w:b/>
          <w:sz w:val="28"/>
        </w:rPr>
        <w:t>3.1 Summary</w:t>
      </w:r>
    </w:p>
    <w:p w14:paraId="027A1D3C" w14:textId="77777777" w:rsidR="009E32CA" w:rsidRPr="00AC00ED" w:rsidRDefault="009E32CA" w:rsidP="009E32CA">
      <w:pPr>
        <w:keepNext/>
        <w:keepLines/>
        <w:spacing w:line="252" w:lineRule="auto"/>
      </w:pPr>
    </w:p>
    <w:p w14:paraId="21C046CA" w14:textId="1B741B97" w:rsidR="009E32CA" w:rsidRPr="00AC00ED" w:rsidRDefault="00F231DC" w:rsidP="009E32CA">
      <w:pPr>
        <w:keepNext/>
        <w:keepLines/>
        <w:spacing w:line="252" w:lineRule="auto"/>
        <w:ind w:firstLine="720"/>
      </w:pPr>
      <w:r w:rsidRPr="00AC00ED">
        <w:t xml:space="preserve">Private </w:t>
      </w:r>
      <w:r w:rsidR="006A4416" w:rsidRPr="00AC00ED">
        <w:t xml:space="preserve">rental </w:t>
      </w:r>
      <w:r w:rsidRPr="00AC00ED">
        <w:t>company</w:t>
      </w:r>
      <w:r w:rsidR="009E32CA" w:rsidRPr="00AC00ED">
        <w:t xml:space="preserve"> data on changes in residential rents are available for a</w:t>
      </w:r>
      <w:r w:rsidR="00BD6105" w:rsidRPr="00AC00ED">
        <w:t xml:space="preserve"> large number</w:t>
      </w:r>
      <w:r w:rsidR="0073325C" w:rsidRPr="00AC00ED">
        <w:t xml:space="preserve"> of</w:t>
      </w:r>
      <w:r w:rsidR="009E32CA" w:rsidRPr="00AC00ED">
        <w:t xml:space="preserve"> HUD-defined AAF areas.  For each area, </w:t>
      </w:r>
    </w:p>
    <w:p w14:paraId="68686B81" w14:textId="77777777" w:rsidR="009E32CA" w:rsidRPr="00AC00ED" w:rsidRDefault="009E32CA" w:rsidP="009E32CA">
      <w:pPr>
        <w:keepLines/>
        <w:spacing w:line="252" w:lineRule="auto"/>
      </w:pPr>
    </w:p>
    <w:p w14:paraId="12D386E8" w14:textId="426DD35D" w:rsidR="009E32CA" w:rsidRPr="00AC00ED" w:rsidRDefault="009E32CA" w:rsidP="006A76EB">
      <w:pPr>
        <w:pStyle w:val="BodyTextIndent"/>
      </w:pPr>
      <w:r w:rsidRPr="00AC00ED">
        <w:t>1.</w:t>
      </w:r>
      <w:r w:rsidRPr="00AC00ED">
        <w:tab/>
      </w:r>
      <w:r w:rsidR="001B39D1">
        <w:t>HUD calculates t</w:t>
      </w:r>
      <w:r w:rsidRPr="00AC00ED">
        <w:t xml:space="preserve">he change in the residential rent </w:t>
      </w:r>
      <w:r w:rsidR="00580651" w:rsidRPr="00AC00ED">
        <w:t xml:space="preserve">from </w:t>
      </w:r>
      <w:r w:rsidR="00277D4C" w:rsidRPr="00AC00ED">
        <w:t xml:space="preserve">available private data sources </w:t>
      </w:r>
      <w:r w:rsidRPr="00AC00ED">
        <w:t xml:space="preserve">and </w:t>
      </w:r>
      <w:r w:rsidR="00277D4C" w:rsidRPr="00AC00ED">
        <w:t xml:space="preserve">household fuels and </w:t>
      </w:r>
      <w:r w:rsidRPr="00AC00ED">
        <w:t xml:space="preserve">utilities </w:t>
      </w:r>
      <w:r w:rsidR="00277D4C" w:rsidRPr="00AC00ED">
        <w:t>as measured</w:t>
      </w:r>
      <w:r w:rsidRPr="00AC00ED">
        <w:t xml:space="preserve"> from the most recent CPI annual average change data; </w:t>
      </w:r>
    </w:p>
    <w:p w14:paraId="57EB236F" w14:textId="77777777" w:rsidR="009E32CA" w:rsidRPr="00AC00ED" w:rsidRDefault="009E32CA" w:rsidP="009E32CA">
      <w:pPr>
        <w:spacing w:line="252" w:lineRule="auto"/>
      </w:pPr>
    </w:p>
    <w:p w14:paraId="72BB3928" w14:textId="7A9E734F" w:rsidR="009E32CA" w:rsidRPr="00AC00ED" w:rsidRDefault="00F231DC" w:rsidP="009E32CA">
      <w:pPr>
        <w:keepNext/>
        <w:keepLines/>
        <w:tabs>
          <w:tab w:val="left" w:pos="-1440"/>
        </w:tabs>
        <w:spacing w:line="252" w:lineRule="auto"/>
        <w:ind w:left="720" w:hanging="720"/>
      </w:pPr>
      <w:r w:rsidRPr="00AC00ED">
        <w:t>2</w:t>
      </w:r>
      <w:r w:rsidR="009E32CA" w:rsidRPr="00AC00ED">
        <w:t>.</w:t>
      </w:r>
      <w:r w:rsidR="009E32CA" w:rsidRPr="00AC00ED">
        <w:tab/>
        <w:t xml:space="preserve">A gross rent factor is calculated by weighting the </w:t>
      </w:r>
      <w:r w:rsidR="0068259D" w:rsidRPr="00AC00ED">
        <w:t xml:space="preserve">Private </w:t>
      </w:r>
      <w:r w:rsidR="009E32CA" w:rsidRPr="00AC00ED">
        <w:t xml:space="preserve">shelter rent and </w:t>
      </w:r>
      <w:r w:rsidR="0068259D" w:rsidRPr="00AC00ED">
        <w:t xml:space="preserve">CPI </w:t>
      </w:r>
      <w:r w:rsidR="009E32CA" w:rsidRPr="00AC00ED">
        <w:t xml:space="preserve">utility components with the corresponding components from the most recent American Community Survey (ACS). </w:t>
      </w:r>
    </w:p>
    <w:p w14:paraId="138C9996" w14:textId="77777777" w:rsidR="009E32CA" w:rsidRPr="00AC00ED" w:rsidRDefault="009E32CA" w:rsidP="009E32CA">
      <w:pPr>
        <w:keepNext/>
        <w:keepLines/>
        <w:tabs>
          <w:tab w:val="center" w:pos="4680"/>
        </w:tabs>
        <w:spacing w:line="252" w:lineRule="auto"/>
        <w:rPr>
          <w:b/>
        </w:rPr>
      </w:pPr>
    </w:p>
    <w:p w14:paraId="13ECD242" w14:textId="06AD5420" w:rsidR="009E32CA" w:rsidRPr="00AC00ED" w:rsidRDefault="009E32CA" w:rsidP="009E32CA">
      <w:pPr>
        <w:keepNext/>
        <w:keepLines/>
        <w:tabs>
          <w:tab w:val="center" w:pos="4680"/>
        </w:tabs>
        <w:spacing w:line="252" w:lineRule="auto"/>
      </w:pPr>
      <w:r w:rsidRPr="00AC00ED">
        <w:rPr>
          <w:b/>
        </w:rPr>
        <w:tab/>
      </w:r>
      <w:r w:rsidR="00F231DC" w:rsidRPr="00AC00ED">
        <w:rPr>
          <w:b/>
          <w:sz w:val="28"/>
        </w:rPr>
        <w:t>3</w:t>
      </w:r>
      <w:r w:rsidRPr="00AC00ED">
        <w:rPr>
          <w:b/>
          <w:sz w:val="28"/>
        </w:rPr>
        <w:t>.2 Detailed Description</w:t>
      </w:r>
    </w:p>
    <w:p w14:paraId="7F4ADB61" w14:textId="77777777" w:rsidR="009E32CA" w:rsidRPr="00AC00ED" w:rsidRDefault="009E32CA" w:rsidP="009E32CA">
      <w:pPr>
        <w:keepNext/>
        <w:keepLines/>
        <w:spacing w:line="252" w:lineRule="auto"/>
      </w:pPr>
    </w:p>
    <w:p w14:paraId="75CF1B49" w14:textId="52A36CDA" w:rsidR="009E32CA" w:rsidRPr="00AC00ED" w:rsidRDefault="00F231DC" w:rsidP="009E32CA">
      <w:pPr>
        <w:keepNext/>
        <w:keepLines/>
        <w:spacing w:line="252" w:lineRule="auto"/>
      </w:pPr>
      <w:r w:rsidRPr="00AC00ED">
        <w:rPr>
          <w:b/>
        </w:rPr>
        <w:t>3</w:t>
      </w:r>
      <w:r w:rsidR="009E32CA" w:rsidRPr="00AC00ED">
        <w:rPr>
          <w:b/>
        </w:rPr>
        <w:t>.2.1</w:t>
      </w:r>
      <w:r w:rsidR="009E32CA" w:rsidRPr="00AC00ED">
        <w:rPr>
          <w:b/>
        </w:rPr>
        <w:tab/>
      </w:r>
      <w:r w:rsidRPr="00AC00ED">
        <w:rPr>
          <w:b/>
        </w:rPr>
        <w:t>Private Company Rental Data</w:t>
      </w:r>
    </w:p>
    <w:p w14:paraId="2556B3E3" w14:textId="77777777" w:rsidR="009E32CA" w:rsidRPr="00AC00ED" w:rsidRDefault="009E32CA" w:rsidP="009E32CA">
      <w:pPr>
        <w:keepNext/>
        <w:keepLines/>
        <w:spacing w:line="252" w:lineRule="auto"/>
      </w:pPr>
    </w:p>
    <w:p w14:paraId="0A3FC264" w14:textId="66EC3A9A" w:rsidR="009E32CA" w:rsidRPr="00AC00ED" w:rsidRDefault="00D31F3D" w:rsidP="00BF4747">
      <w:pPr>
        <w:keepLines/>
        <w:spacing w:line="252" w:lineRule="auto"/>
        <w:ind w:firstLine="720"/>
      </w:pPr>
      <w:r w:rsidRPr="00AC00ED">
        <w:t>HUD uses measures of contract rents obtained from a total of six possible sources of commercial rental companies (“Private data”). The measures of rent used by HUD are the RealPage (formerly Axiometrics) average effective rent per unit, Moody’s Analytics REIS average market rent, CoStar Group average effective rent, CoreLogic, Inc. single-family combined 3-bedroom median rent, Apartment</w:t>
      </w:r>
      <w:r w:rsidR="00C66CFC" w:rsidRPr="00AC00ED">
        <w:t xml:space="preserve"> </w:t>
      </w:r>
      <w:r w:rsidRPr="00AC00ED">
        <w:t>List Rent Estimates, and Zillow Observed Rent Index</w:t>
      </w:r>
      <w:r w:rsidRPr="00AC00ED">
        <w:rPr>
          <w:vertAlign w:val="superscript"/>
        </w:rPr>
        <w:footnoteReference w:id="5"/>
      </w:r>
      <w:r w:rsidRPr="00AC00ED">
        <w:t xml:space="preserve">. To produce private gross rents, HUD combines the private rent data with the </w:t>
      </w:r>
      <w:r w:rsidR="009E32CA" w:rsidRPr="00AC00ED">
        <w:t xml:space="preserve">fuel and other utilities component of the CPI, </w:t>
      </w:r>
      <w:r w:rsidR="00761E2D" w:rsidRPr="00AC00ED">
        <w:t>as described above.</w:t>
      </w:r>
    </w:p>
    <w:p w14:paraId="69CA975C" w14:textId="77777777" w:rsidR="00C66CFC" w:rsidRPr="00AC00ED" w:rsidRDefault="00C66CFC" w:rsidP="00BF4747">
      <w:pPr>
        <w:keepLines/>
        <w:spacing w:line="252" w:lineRule="auto"/>
        <w:ind w:firstLine="720"/>
      </w:pPr>
    </w:p>
    <w:p w14:paraId="6D4F6C11" w14:textId="6DF02C8F" w:rsidR="009E32CA" w:rsidRPr="00AC00ED" w:rsidRDefault="006A76EB" w:rsidP="009E32CA">
      <w:pPr>
        <w:keepNext/>
        <w:keepLines/>
        <w:spacing w:line="252" w:lineRule="auto"/>
      </w:pPr>
      <w:r w:rsidRPr="00AC00ED">
        <w:rPr>
          <w:b/>
        </w:rPr>
        <w:t>3</w:t>
      </w:r>
      <w:r w:rsidR="009E32CA" w:rsidRPr="00AC00ED">
        <w:rPr>
          <w:b/>
        </w:rPr>
        <w:t>.2.2</w:t>
      </w:r>
      <w:r w:rsidR="009E32CA" w:rsidRPr="00AC00ED">
        <w:rPr>
          <w:b/>
        </w:rPr>
        <w:tab/>
      </w:r>
      <w:r w:rsidR="00D31F3D" w:rsidRPr="00AC00ED">
        <w:rPr>
          <w:b/>
        </w:rPr>
        <w:t>Private Data</w:t>
      </w:r>
      <w:r w:rsidR="009E32CA" w:rsidRPr="00AC00ED">
        <w:rPr>
          <w:b/>
        </w:rPr>
        <w:t xml:space="preserve"> and HUD Geography</w:t>
      </w:r>
    </w:p>
    <w:p w14:paraId="1AF1A7A3" w14:textId="77777777" w:rsidR="009E32CA" w:rsidRPr="00AC00ED" w:rsidRDefault="009E32CA" w:rsidP="009E32CA">
      <w:pPr>
        <w:keepNext/>
        <w:keepLines/>
        <w:spacing w:line="252" w:lineRule="auto"/>
      </w:pPr>
    </w:p>
    <w:p w14:paraId="4B15E57B" w14:textId="2275779E" w:rsidR="00D31F3D" w:rsidRPr="00AC00ED" w:rsidRDefault="00D31F3D" w:rsidP="00D31F3D">
      <w:pPr>
        <w:keepLines/>
        <w:spacing w:line="252" w:lineRule="auto"/>
        <w:ind w:firstLine="720"/>
      </w:pPr>
      <w:r w:rsidRPr="00AC00ED">
        <w:t>Each private data source is available for different CBSAs.</w:t>
      </w:r>
      <w:r w:rsidR="009E32CA" w:rsidRPr="00AC00ED">
        <w:t xml:space="preserve"> </w:t>
      </w:r>
      <w:r w:rsidRPr="00AC00ED">
        <w:t xml:space="preserve">HUD uses a local measure of private rent inflation for markets that are covered by at least three of the six available sources of private rent data. HUD uses these data for all AAF areas. For </w:t>
      </w:r>
      <w:r w:rsidR="00C66CFC" w:rsidRPr="00AC00ED">
        <w:t>FY25</w:t>
      </w:r>
      <w:r w:rsidRPr="00AC00ED">
        <w:t xml:space="preserve">, a total of </w:t>
      </w:r>
      <w:r w:rsidR="00C66CFC" w:rsidRPr="00AC00ED">
        <w:t xml:space="preserve">637 </w:t>
      </w:r>
      <w:r w:rsidRPr="00AC00ED">
        <w:t>out of 2,</w:t>
      </w:r>
      <w:r w:rsidR="00C66CFC" w:rsidRPr="00AC00ED">
        <w:t xml:space="preserve">601 </w:t>
      </w:r>
      <w:r w:rsidR="005962D1">
        <w:t>HUD FMR areas</w:t>
      </w:r>
      <w:r w:rsidR="005962D1" w:rsidRPr="00AC00ED">
        <w:t xml:space="preserve"> </w:t>
      </w:r>
      <w:r w:rsidRPr="00AC00ED">
        <w:t xml:space="preserve">were covered by a local private inflation factor, or approximately </w:t>
      </w:r>
      <w:r w:rsidR="00C66CFC" w:rsidRPr="00AC00ED">
        <w:t>85</w:t>
      </w:r>
      <w:r w:rsidRPr="00AC00ED">
        <w:t>% of the U.S. population.</w:t>
      </w:r>
    </w:p>
    <w:p w14:paraId="2608AF90" w14:textId="77777777" w:rsidR="00D31F3D" w:rsidRPr="00AC00ED" w:rsidRDefault="00D31F3D" w:rsidP="00D31F3D">
      <w:pPr>
        <w:keepLines/>
        <w:spacing w:line="252" w:lineRule="auto"/>
        <w:ind w:firstLine="720"/>
      </w:pPr>
    </w:p>
    <w:p w14:paraId="68F0369A" w14:textId="040077A8" w:rsidR="006A76EB" w:rsidRPr="00AC00ED" w:rsidRDefault="00D31F3D" w:rsidP="006A76EB">
      <w:pPr>
        <w:keepLines/>
        <w:spacing w:line="252" w:lineRule="auto"/>
        <w:ind w:firstLine="720"/>
      </w:pPr>
      <w:r w:rsidRPr="00AC00ED">
        <w:lastRenderedPageBreak/>
        <w:t>For areas without at least three of the six private rent data sources available, HUD uses a regional average of private rent inflation factors. HUD constructs the regional average mirroring the construction of CPI-Rent Regional Class B/C Factors. HUD takes the rental unit</w:t>
      </w:r>
      <w:r w:rsidR="007C53EC">
        <w:t>-</w:t>
      </w:r>
      <w:r w:rsidRPr="00AC00ED">
        <w:t>weighted average of the change in rents of each area in a region that does have private rent data coverage yet excludes the CPI Class A metro areas.</w:t>
      </w:r>
      <w:r w:rsidR="006A76EB" w:rsidRPr="00920019">
        <w:rPr>
          <w:rFonts w:eastAsiaTheme="minorEastAsia"/>
          <w:sz w:val="22"/>
          <w:szCs w:val="22"/>
          <w:lang w:eastAsia="zh-CN"/>
        </w:rPr>
        <w:t xml:space="preserve"> </w:t>
      </w:r>
      <w:r w:rsidR="006A76EB" w:rsidRPr="00AC00ED">
        <w:t xml:space="preserve">As an example of calculating a weighted average, if a given region contained non-Class A areas A, B, and C with 4,000; 3,000; and 1,000 rental units respectively, and private inflation factors of 10 percent, 5 percent, and 1 percent, the regional inflation factor would be 10% * 0.5 + 5% * 0.375 + 1% * 0.125 = 7 percent. This ensures that smaller areas which are not covered directly by the private sources directly still have current rental market conditions taken into account in the calculation of the rent inflation factor for such areas. </w:t>
      </w:r>
    </w:p>
    <w:p w14:paraId="25CC7B8F" w14:textId="77777777" w:rsidR="009E32CA" w:rsidRPr="00AC00ED" w:rsidRDefault="009E32CA" w:rsidP="009E32CA">
      <w:pPr>
        <w:spacing w:line="252" w:lineRule="auto"/>
      </w:pPr>
    </w:p>
    <w:p w14:paraId="30ACD8AB" w14:textId="3F54CB0F" w:rsidR="009E32CA" w:rsidRPr="00AC00ED" w:rsidRDefault="006A76EB" w:rsidP="009E32CA">
      <w:pPr>
        <w:spacing w:line="252" w:lineRule="auto"/>
      </w:pPr>
      <w:r w:rsidRPr="00AC00ED">
        <w:rPr>
          <w:b/>
        </w:rPr>
        <w:t>3</w:t>
      </w:r>
      <w:r w:rsidR="009E32CA" w:rsidRPr="00AC00ED">
        <w:rPr>
          <w:b/>
        </w:rPr>
        <w:t>.2.3</w:t>
      </w:r>
      <w:r w:rsidR="009E32CA" w:rsidRPr="00AC00ED">
        <w:rPr>
          <w:b/>
        </w:rPr>
        <w:tab/>
        <w:t>Shelter Rent Increase</w:t>
      </w:r>
      <w:r w:rsidR="009E32CA" w:rsidRPr="00AC00ED">
        <w:t xml:space="preserve"> (Tenant Pays For Utilities)</w:t>
      </w:r>
    </w:p>
    <w:p w14:paraId="7200E90A" w14:textId="77777777" w:rsidR="009E32CA" w:rsidRPr="00AC00ED" w:rsidRDefault="009E32CA" w:rsidP="009E32CA">
      <w:pPr>
        <w:spacing w:line="252" w:lineRule="auto"/>
      </w:pPr>
    </w:p>
    <w:p w14:paraId="36550769" w14:textId="3AF920A6" w:rsidR="006A76EB" w:rsidRPr="00AC00ED" w:rsidRDefault="006A76EB" w:rsidP="009E32CA">
      <w:pPr>
        <w:spacing w:line="252" w:lineRule="auto"/>
        <w:ind w:firstLine="720"/>
      </w:pPr>
      <w:r w:rsidRPr="00AC00ED">
        <w:t xml:space="preserve">Unlike the CPI, HUD makes an implicit assumption that the </w:t>
      </w:r>
      <w:r w:rsidR="00F935AF">
        <w:t>p</w:t>
      </w:r>
      <w:r w:rsidRPr="00AC00ED">
        <w:t>rivate rent changes represent units with separate utility bills</w:t>
      </w:r>
      <w:r w:rsidR="00D451A8" w:rsidRPr="00AC00ED">
        <w:t xml:space="preserve"> and thus constitute </w:t>
      </w:r>
      <w:r w:rsidR="00D451A8" w:rsidRPr="00AC00ED">
        <w:rPr>
          <w:i/>
          <w:iCs/>
        </w:rPr>
        <w:t>shelter rent</w:t>
      </w:r>
      <w:r w:rsidRPr="00AC00ED">
        <w:t xml:space="preserve">. Therefore, </w:t>
      </w:r>
      <w:r w:rsidR="007A1DC8" w:rsidRPr="00AC00ED">
        <w:t>HUD first takes the annual average of each statistic, then its year-to-year change. HUD then takes</w:t>
      </w:r>
      <w:r w:rsidR="006B5DAD" w:rsidRPr="00AC00ED">
        <w:t xml:space="preserve"> </w:t>
      </w:r>
      <w:r w:rsidR="007A1DC8" w:rsidRPr="00AC00ED">
        <w:t>the</w:t>
      </w:r>
      <w:r w:rsidRPr="00AC00ED">
        <w:t xml:space="preserve"> average of all available private rents for each area </w:t>
      </w:r>
      <w:r w:rsidR="007A1DC8" w:rsidRPr="00AC00ED">
        <w:t xml:space="preserve">which </w:t>
      </w:r>
      <w:r w:rsidR="00C66CFC" w:rsidRPr="00AC00ED">
        <w:t>constitutes</w:t>
      </w:r>
      <w:r w:rsidRPr="00AC00ED">
        <w:t xml:space="preserve"> the private </w:t>
      </w:r>
      <w:r w:rsidRPr="00AC00ED">
        <w:rPr>
          <w:i/>
          <w:iCs/>
        </w:rPr>
        <w:t>shelter rent</w:t>
      </w:r>
      <w:r w:rsidR="007A1DC8" w:rsidRPr="00AC00ED">
        <w:rPr>
          <w:i/>
          <w:iCs/>
        </w:rPr>
        <w:t xml:space="preserve"> </w:t>
      </w:r>
      <w:r w:rsidR="00C66CFC" w:rsidRPr="00AC00ED">
        <w:rPr>
          <w:i/>
          <w:iCs/>
        </w:rPr>
        <w:t>(S</w:t>
      </w:r>
      <w:r w:rsidR="007A1DC8" w:rsidRPr="00AC00ED">
        <w:rPr>
          <w:i/>
          <w:iCs/>
        </w:rPr>
        <w:t>R</w:t>
      </w:r>
      <w:r w:rsidR="00C66CFC" w:rsidRPr="00AC00ED">
        <w:rPr>
          <w:i/>
          <w:iCs/>
        </w:rPr>
        <w:t>)</w:t>
      </w:r>
      <w:r w:rsidRPr="00AC00ED">
        <w:t>.</w:t>
      </w:r>
    </w:p>
    <w:p w14:paraId="331DF45F" w14:textId="77777777" w:rsidR="007A1DC8" w:rsidRPr="00AC00ED" w:rsidRDefault="007A1DC8" w:rsidP="009E32CA">
      <w:pPr>
        <w:spacing w:line="252" w:lineRule="auto"/>
        <w:ind w:firstLine="720"/>
      </w:pPr>
    </w:p>
    <w:p w14:paraId="7CB2D3F7" w14:textId="28CAD15E" w:rsidR="009E32CA" w:rsidRPr="00AC00ED" w:rsidRDefault="006A76EB" w:rsidP="009E32CA">
      <w:pPr>
        <w:keepNext/>
        <w:keepLines/>
        <w:spacing w:line="252" w:lineRule="auto"/>
      </w:pPr>
      <w:r w:rsidRPr="00AC00ED">
        <w:rPr>
          <w:b/>
        </w:rPr>
        <w:t>3</w:t>
      </w:r>
      <w:r w:rsidR="009E32CA" w:rsidRPr="00AC00ED">
        <w:rPr>
          <w:b/>
        </w:rPr>
        <w:t>.2.4</w:t>
      </w:r>
      <w:r w:rsidR="009E32CA" w:rsidRPr="00AC00ED">
        <w:rPr>
          <w:b/>
        </w:rPr>
        <w:tab/>
        <w:t>Gross Rent Increase Factor</w:t>
      </w:r>
      <w:r w:rsidR="009E32CA" w:rsidRPr="00AC00ED">
        <w:t xml:space="preserve"> (Landlord Pays For Utilities)</w:t>
      </w:r>
    </w:p>
    <w:p w14:paraId="737AADA1" w14:textId="77777777" w:rsidR="009E32CA" w:rsidRPr="00AC00ED" w:rsidRDefault="009E32CA" w:rsidP="009E32CA">
      <w:pPr>
        <w:keepNext/>
        <w:keepLines/>
        <w:spacing w:line="252" w:lineRule="auto"/>
      </w:pPr>
    </w:p>
    <w:p w14:paraId="4463DFEA" w14:textId="07EFA0A8" w:rsidR="009E32CA" w:rsidRPr="00AC00ED" w:rsidRDefault="009E32CA" w:rsidP="009E32CA">
      <w:pPr>
        <w:keepLines/>
        <w:spacing w:line="252" w:lineRule="auto"/>
        <w:ind w:firstLine="720"/>
      </w:pPr>
      <w:r w:rsidRPr="00AC00ED">
        <w:t>For units where the landlord supplies utilities as part of the rent, a gross rent increase factor is calculated.  Using the same variables as above, and the calculated value of the shelter rent increase factor (</w:t>
      </w:r>
      <w:r w:rsidR="00C66CFC" w:rsidRPr="00AC00ED">
        <w:t>S</w:t>
      </w:r>
      <w:r w:rsidRPr="00AC00ED">
        <w:t>R), the</w:t>
      </w:r>
      <w:r w:rsidRPr="00AC00ED">
        <w:rPr>
          <w:i/>
        </w:rPr>
        <w:t xml:space="preserve"> </w:t>
      </w:r>
      <w:r w:rsidRPr="00AC00ED">
        <w:rPr>
          <w:b/>
          <w:i/>
        </w:rPr>
        <w:t>gross rent increase</w:t>
      </w:r>
      <w:r w:rsidRPr="00AC00ED">
        <w:rPr>
          <w:i/>
        </w:rPr>
        <w:t xml:space="preserve"> factor</w:t>
      </w:r>
      <w:r w:rsidRPr="00AC00ED">
        <w:t xml:space="preserve"> is: </w:t>
      </w:r>
    </w:p>
    <w:p w14:paraId="4691F989" w14:textId="77777777" w:rsidR="009E32CA" w:rsidRPr="00AC00ED" w:rsidRDefault="009E32CA" w:rsidP="009E32CA">
      <w:pPr>
        <w:spacing w:line="252" w:lineRule="auto"/>
      </w:pPr>
    </w:p>
    <w:p w14:paraId="15EA675D" w14:textId="77777777" w:rsidR="00C66CFC" w:rsidRPr="00C84FA2" w:rsidRDefault="00C66CFC" w:rsidP="00C66CFC">
      <w:pPr>
        <w:keepNext/>
        <w:keepLines/>
        <w:spacing w:before="80"/>
        <w:outlineLvl w:val="2"/>
        <w:rPr>
          <w:rFonts w:eastAsiaTheme="majorEastAsia"/>
          <w:color w:val="000000" w:themeColor="text1"/>
        </w:rPr>
      </w:pPr>
      <w:r w:rsidRPr="00C84FA2">
        <w:rPr>
          <w:rFonts w:eastAsiaTheme="majorEastAsia"/>
          <w:b/>
          <w:bCs/>
          <w:color w:val="000000" w:themeColor="text1"/>
        </w:rPr>
        <w:t xml:space="preserve">Private Gross Rent Change: </w:t>
      </w:r>
      <w:r w:rsidRPr="00C84FA2">
        <w:rPr>
          <w:rFonts w:eastAsiaTheme="majorEastAsia"/>
          <w:color w:val="000000" w:themeColor="text1"/>
        </w:rPr>
        <w:t>a weighted average of the change in area private shelter rents and the change in CPI utility costs</w:t>
      </w:r>
    </w:p>
    <w:p w14:paraId="28FD7F0D" w14:textId="77777777" w:rsidR="00847924" w:rsidRDefault="00847924" w:rsidP="00C66CFC">
      <w:pPr>
        <w:keepNext/>
        <w:keepLines/>
        <w:spacing w:before="80"/>
        <w:outlineLvl w:val="2"/>
        <w:rPr>
          <w:rFonts w:eastAsiaTheme="majorEastAsia"/>
          <w:color w:val="404040" w:themeColor="text1" w:themeTint="BF"/>
        </w:rPr>
      </w:pPr>
    </w:p>
    <w:tbl>
      <w:tblPr>
        <w:tblStyle w:val="TableGrid"/>
        <w:tblW w:w="0" w:type="auto"/>
        <w:jc w:val="center"/>
        <w:tblLook w:val="04A0" w:firstRow="1" w:lastRow="0" w:firstColumn="1" w:lastColumn="0" w:noHBand="0" w:noVBand="1"/>
      </w:tblPr>
      <w:tblGrid>
        <w:gridCol w:w="3415"/>
      </w:tblGrid>
      <w:tr w:rsidR="00847924" w:rsidRPr="004A654D" w14:paraId="34C25B3C" w14:textId="77777777" w:rsidTr="00847924">
        <w:trPr>
          <w:jc w:val="center"/>
        </w:trPr>
        <w:tc>
          <w:tcPr>
            <w:tcW w:w="3415" w:type="dxa"/>
          </w:tcPr>
          <w:p w14:paraId="3A6AF83F" w14:textId="3E7B9E3D" w:rsidR="00847924" w:rsidRPr="00954C2C" w:rsidRDefault="00847924" w:rsidP="00847924">
            <w:pPr>
              <w:spacing w:after="120" w:line="264" w:lineRule="auto"/>
            </w:pPr>
            <w:r w:rsidRPr="00954C2C">
              <w:rPr>
                <w:color w:val="C00000"/>
              </w:rPr>
              <w:t>GR</w:t>
            </w:r>
            <w:r w:rsidRPr="00954C2C">
              <w:t xml:space="preserve"> = (1 - </w:t>
            </w:r>
            <w:proofErr w:type="spellStart"/>
            <w:r w:rsidRPr="00954C2C">
              <w:t>U</w:t>
            </w:r>
            <w:r w:rsidRPr="00954C2C">
              <w:rPr>
                <w:vertAlign w:val="subscript"/>
              </w:rPr>
              <w:t>w</w:t>
            </w:r>
            <w:proofErr w:type="spellEnd"/>
            <w:r w:rsidRPr="00954C2C">
              <w:t xml:space="preserve">) * </w:t>
            </w:r>
            <w:r w:rsidRPr="00954C2C">
              <w:rPr>
                <w:color w:val="C00000"/>
              </w:rPr>
              <w:t>SR</w:t>
            </w:r>
            <w:r w:rsidRPr="00954C2C">
              <w:t xml:space="preserve">+ </w:t>
            </w:r>
            <w:proofErr w:type="spellStart"/>
            <w:r w:rsidRPr="00954C2C">
              <w:t>U</w:t>
            </w:r>
            <w:r w:rsidRPr="00954C2C">
              <w:rPr>
                <w:vertAlign w:val="subscript"/>
              </w:rPr>
              <w:t>w</w:t>
            </w:r>
            <w:proofErr w:type="spellEnd"/>
            <w:r w:rsidRPr="00954C2C">
              <w:rPr>
                <w:vertAlign w:val="subscript"/>
              </w:rPr>
              <w:t xml:space="preserve"> </w:t>
            </w:r>
            <w:r w:rsidRPr="00954C2C">
              <w:t>* U</w:t>
            </w:r>
            <w:r w:rsidRPr="00AC00ED">
              <w:t>Δ</w:t>
            </w:r>
          </w:p>
        </w:tc>
      </w:tr>
    </w:tbl>
    <w:p w14:paraId="5C8C23B0" w14:textId="3F422809" w:rsidR="00C66CFC" w:rsidRPr="00C84FA2" w:rsidRDefault="00C66CFC" w:rsidP="00847924">
      <w:pPr>
        <w:spacing w:after="120" w:line="264" w:lineRule="auto"/>
        <w:rPr>
          <w:lang w:val="nl-NL"/>
        </w:rPr>
      </w:pPr>
    </w:p>
    <w:p w14:paraId="07420D07" w14:textId="77777777" w:rsidR="00C66CFC" w:rsidRPr="00AC00ED" w:rsidRDefault="00C66CFC" w:rsidP="00C66CFC">
      <w:pPr>
        <w:spacing w:after="120" w:line="264" w:lineRule="auto"/>
      </w:pPr>
      <w:r w:rsidRPr="00AC00ED">
        <w:rPr>
          <w:b/>
        </w:rPr>
        <w:t>GR</w:t>
      </w:r>
      <w:r w:rsidRPr="00AC00ED">
        <w:t xml:space="preserve"> is the change in gross rents from year to year (unknown);</w:t>
      </w:r>
    </w:p>
    <w:p w14:paraId="0BFA8336" w14:textId="77777777" w:rsidR="00C66CFC" w:rsidRPr="00AC00ED" w:rsidRDefault="00C66CFC" w:rsidP="00C66CFC">
      <w:pPr>
        <w:spacing w:after="120" w:line="264" w:lineRule="auto"/>
      </w:pPr>
      <w:r w:rsidRPr="00AC00ED">
        <w:rPr>
          <w:b/>
        </w:rPr>
        <w:t>SR</w:t>
      </w:r>
      <w:r w:rsidRPr="00AC00ED">
        <w:t xml:space="preserve"> is the change in private shelter rents from year to year (unknown);</w:t>
      </w:r>
    </w:p>
    <w:p w14:paraId="248874E7" w14:textId="77777777" w:rsidR="00C66CFC" w:rsidRPr="00AC00ED" w:rsidRDefault="00C66CFC" w:rsidP="00C66CFC">
      <w:pPr>
        <w:spacing w:after="120" w:line="264" w:lineRule="auto"/>
        <w:rPr>
          <w:b/>
          <w:bCs/>
        </w:rPr>
      </w:pPr>
      <w:r w:rsidRPr="00AC00ED">
        <w:rPr>
          <w:b/>
        </w:rPr>
        <w:t>U</w:t>
      </w:r>
      <w:r w:rsidRPr="00AC00ED">
        <w:t xml:space="preserve"> is the change in utility costs from year to year (known from the BLS CPI Series the “Housing – Fuels and Utilities” – BLS Code SAH2)</w:t>
      </w:r>
      <w:r w:rsidRPr="00B12E8A">
        <w:t>;</w:t>
      </w:r>
    </w:p>
    <w:p w14:paraId="21F983EF" w14:textId="77777777" w:rsidR="00C66CFC" w:rsidRPr="00AC00ED" w:rsidRDefault="00C66CFC" w:rsidP="00C66CFC">
      <w:pPr>
        <w:spacing w:line="264" w:lineRule="auto"/>
      </w:pPr>
      <w:proofErr w:type="spellStart"/>
      <w:r w:rsidRPr="00AC00ED">
        <w:rPr>
          <w:b/>
          <w:bCs/>
        </w:rPr>
        <w:t>U</w:t>
      </w:r>
      <w:r w:rsidRPr="00AC00ED">
        <w:rPr>
          <w:b/>
          <w:bCs/>
          <w:vertAlign w:val="subscript"/>
        </w:rPr>
        <w:t>w</w:t>
      </w:r>
      <w:proofErr w:type="spellEnd"/>
      <w:r w:rsidRPr="00AC00ED">
        <w:t xml:space="preserve"> is the fraction of gross rents attributable to utilities for CPI areas (</w:t>
      </w:r>
      <w:proofErr w:type="spellStart"/>
      <w:r w:rsidRPr="00AC00ED">
        <w:t>CBSAsubs</w:t>
      </w:r>
      <w:proofErr w:type="spellEnd"/>
      <w:r w:rsidRPr="00AC00ED">
        <w:t>).</w:t>
      </w:r>
    </w:p>
    <w:p w14:paraId="293B5784" w14:textId="77777777" w:rsidR="00C66CFC" w:rsidRPr="00AC00ED" w:rsidRDefault="00C66CFC" w:rsidP="009E32CA">
      <w:pPr>
        <w:spacing w:line="252" w:lineRule="auto"/>
      </w:pPr>
    </w:p>
    <w:p w14:paraId="3B2AF7F0" w14:textId="77777777" w:rsidR="00847924" w:rsidRDefault="00847924" w:rsidP="006B5DAD">
      <w:pPr>
        <w:spacing w:line="252" w:lineRule="auto"/>
      </w:pPr>
    </w:p>
    <w:p w14:paraId="20ED929A" w14:textId="4347F912" w:rsidR="006B5DAD" w:rsidRPr="00AC00ED" w:rsidRDefault="009E32CA" w:rsidP="006B5DAD">
      <w:pPr>
        <w:spacing w:line="252" w:lineRule="auto"/>
      </w:pPr>
      <w:r w:rsidRPr="00AC00ED">
        <w:tab/>
      </w:r>
      <w:r w:rsidR="006B5DAD" w:rsidRPr="00AC00ED">
        <w:t xml:space="preserve"> The Private gross rent factor is </w:t>
      </w:r>
      <w:r w:rsidR="00C66CFC" w:rsidRPr="00AC00ED">
        <w:t xml:space="preserve">then </w:t>
      </w:r>
      <w:r w:rsidR="006B5DAD" w:rsidRPr="00AC00ED">
        <w:t>combined with the CPI factor (see below.)</w:t>
      </w:r>
    </w:p>
    <w:p w14:paraId="432F1B7C" w14:textId="77777777" w:rsidR="006B5DAD" w:rsidRPr="00AC00ED" w:rsidRDefault="006B5DAD" w:rsidP="009E32CA">
      <w:pPr>
        <w:spacing w:line="252" w:lineRule="auto"/>
      </w:pPr>
    </w:p>
    <w:p w14:paraId="3A120DA7" w14:textId="77777777" w:rsidR="009E32CA" w:rsidRDefault="009E32CA" w:rsidP="009E32CA">
      <w:pPr>
        <w:spacing w:line="252" w:lineRule="auto"/>
        <w:jc w:val="center"/>
        <w:rPr>
          <w:b/>
          <w:sz w:val="28"/>
        </w:rPr>
      </w:pPr>
    </w:p>
    <w:p w14:paraId="305420D0" w14:textId="77777777" w:rsidR="00847924" w:rsidRDefault="00847924" w:rsidP="009E32CA">
      <w:pPr>
        <w:spacing w:line="252" w:lineRule="auto"/>
        <w:jc w:val="center"/>
        <w:rPr>
          <w:b/>
          <w:sz w:val="28"/>
        </w:rPr>
      </w:pPr>
    </w:p>
    <w:p w14:paraId="6D775544" w14:textId="77777777" w:rsidR="00847924" w:rsidRDefault="00847924" w:rsidP="009E32CA">
      <w:pPr>
        <w:spacing w:line="252" w:lineRule="auto"/>
        <w:jc w:val="center"/>
        <w:rPr>
          <w:b/>
          <w:sz w:val="28"/>
        </w:rPr>
      </w:pPr>
    </w:p>
    <w:p w14:paraId="2298A424" w14:textId="77777777" w:rsidR="00847924" w:rsidRPr="00AC00ED" w:rsidRDefault="00847924" w:rsidP="00653F79">
      <w:pPr>
        <w:spacing w:line="252" w:lineRule="auto"/>
        <w:rPr>
          <w:b/>
          <w:sz w:val="28"/>
        </w:rPr>
      </w:pPr>
    </w:p>
    <w:p w14:paraId="739C57CF" w14:textId="7E040255" w:rsidR="007F0FC1" w:rsidRPr="00AC00ED" w:rsidRDefault="007F0FC1" w:rsidP="007F0FC1">
      <w:pPr>
        <w:spacing w:line="252" w:lineRule="auto"/>
        <w:jc w:val="center"/>
        <w:rPr>
          <w:b/>
          <w:sz w:val="28"/>
        </w:rPr>
      </w:pPr>
      <w:r w:rsidRPr="00AC00ED">
        <w:rPr>
          <w:b/>
          <w:sz w:val="28"/>
        </w:rPr>
        <w:lastRenderedPageBreak/>
        <w:t>4</w:t>
      </w:r>
      <w:r w:rsidR="00847924" w:rsidRPr="00AC00ED">
        <w:rPr>
          <w:b/>
          <w:sz w:val="28"/>
        </w:rPr>
        <w:t>. Computing</w:t>
      </w:r>
      <w:r w:rsidR="00CA3F60" w:rsidRPr="00AC00ED">
        <w:rPr>
          <w:b/>
          <w:sz w:val="28"/>
        </w:rPr>
        <w:t xml:space="preserve"> a Weighted Average Private and CPI</w:t>
      </w:r>
      <w:r w:rsidR="00D6794C" w:rsidRPr="00AC00ED">
        <w:rPr>
          <w:b/>
          <w:sz w:val="28"/>
        </w:rPr>
        <w:t xml:space="preserve"> </w:t>
      </w:r>
      <w:r w:rsidR="005B3AD2" w:rsidRPr="00AC00ED">
        <w:rPr>
          <w:b/>
          <w:sz w:val="28"/>
        </w:rPr>
        <w:t xml:space="preserve">Inflation </w:t>
      </w:r>
      <w:r w:rsidR="00D6794C" w:rsidRPr="00AC00ED">
        <w:rPr>
          <w:b/>
          <w:sz w:val="28"/>
        </w:rPr>
        <w:t>Factor</w:t>
      </w:r>
    </w:p>
    <w:p w14:paraId="4FE1A891" w14:textId="77777777" w:rsidR="007F0FC1" w:rsidRPr="00AC00ED" w:rsidRDefault="007F0FC1" w:rsidP="007F0FC1">
      <w:pPr>
        <w:keepNext/>
        <w:keepLines/>
        <w:tabs>
          <w:tab w:val="center" w:pos="4680"/>
        </w:tabs>
        <w:spacing w:line="252" w:lineRule="auto"/>
        <w:rPr>
          <w:b/>
        </w:rPr>
      </w:pPr>
      <w:r w:rsidRPr="00AC00ED">
        <w:rPr>
          <w:b/>
        </w:rPr>
        <w:tab/>
      </w:r>
    </w:p>
    <w:p w14:paraId="1F0CB2FF" w14:textId="04F214FA" w:rsidR="007F0FC1" w:rsidRPr="00AC00ED" w:rsidRDefault="007F0FC1" w:rsidP="007F0FC1">
      <w:pPr>
        <w:keepNext/>
        <w:keepLines/>
        <w:tabs>
          <w:tab w:val="center" w:pos="4680"/>
        </w:tabs>
        <w:spacing w:line="252" w:lineRule="auto"/>
      </w:pPr>
      <w:r w:rsidRPr="00AC00ED">
        <w:rPr>
          <w:b/>
        </w:rPr>
        <w:tab/>
      </w:r>
      <w:r w:rsidR="003479E9" w:rsidRPr="00AC00ED">
        <w:rPr>
          <w:b/>
          <w:sz w:val="28"/>
        </w:rPr>
        <w:t>4</w:t>
      </w:r>
      <w:r w:rsidRPr="00AC00ED">
        <w:rPr>
          <w:b/>
          <w:sz w:val="28"/>
        </w:rPr>
        <w:t>.1 Summary</w:t>
      </w:r>
    </w:p>
    <w:p w14:paraId="453B9ED4" w14:textId="77777777" w:rsidR="007F0FC1" w:rsidRPr="00AC00ED" w:rsidRDefault="007F0FC1" w:rsidP="007F0FC1">
      <w:pPr>
        <w:keepNext/>
        <w:keepLines/>
        <w:spacing w:line="252" w:lineRule="auto"/>
      </w:pPr>
    </w:p>
    <w:p w14:paraId="301EBF7A" w14:textId="414781BF" w:rsidR="007F0FC1" w:rsidRPr="00AC00ED" w:rsidRDefault="003479E9" w:rsidP="005D3315">
      <w:pPr>
        <w:keepLines/>
        <w:spacing w:line="252" w:lineRule="auto"/>
        <w:ind w:firstLine="720"/>
      </w:pPr>
      <w:r w:rsidRPr="00AC00ED">
        <w:t xml:space="preserve">Upon calculating </w:t>
      </w:r>
      <w:r w:rsidR="00BC76FF" w:rsidRPr="00AC00ED">
        <w:t>both a</w:t>
      </w:r>
      <w:r w:rsidRPr="00AC00ED">
        <w:t xml:space="preserve"> CPI and Private</w:t>
      </w:r>
      <w:r w:rsidR="00BC76FF" w:rsidRPr="00AC00ED">
        <w:t xml:space="preserve"> </w:t>
      </w:r>
      <w:r w:rsidR="00BC76FF" w:rsidRPr="00AC00ED">
        <w:rPr>
          <w:i/>
          <w:iCs/>
        </w:rPr>
        <w:t>shelter</w:t>
      </w:r>
      <w:r w:rsidR="00BC76FF" w:rsidRPr="00AC00ED">
        <w:t xml:space="preserve"> and</w:t>
      </w:r>
      <w:r w:rsidRPr="00AC00ED">
        <w:t xml:space="preserve"> </w:t>
      </w:r>
      <w:r w:rsidRPr="00AC00ED">
        <w:rPr>
          <w:i/>
          <w:iCs/>
        </w:rPr>
        <w:t>gross rent</w:t>
      </w:r>
      <w:r w:rsidRPr="00AC00ED">
        <w:t xml:space="preserve"> inflation factor</w:t>
      </w:r>
      <w:r w:rsidR="00BC76FF" w:rsidRPr="00AC00ED">
        <w:t xml:space="preserve"> for each area</w:t>
      </w:r>
      <w:r w:rsidR="00EE63F2" w:rsidRPr="00AC00ED">
        <w:t>, respectively</w:t>
      </w:r>
      <w:r w:rsidRPr="00AC00ED">
        <w:t>, HUD combines the two using a weighting scheme such that the weighted national average of the CPI and Private gross rent inflation factors equals the change in the ACS national recent mover gross rents.</w:t>
      </w:r>
      <w:r w:rsidRPr="00AC00ED">
        <w:rPr>
          <w:b/>
          <w:bCs/>
        </w:rPr>
        <w:t xml:space="preserve"> </w:t>
      </w:r>
      <w:r w:rsidRPr="00AC00ED">
        <w:t>To derive the FY</w:t>
      </w:r>
      <w:r w:rsidR="00837F3D" w:rsidRPr="00AC00ED">
        <w:t xml:space="preserve"> </w:t>
      </w:r>
      <w:r w:rsidR="002945A0" w:rsidRPr="00AC00ED">
        <w:t xml:space="preserve">2025 </w:t>
      </w:r>
      <w:r w:rsidRPr="00AC00ED">
        <w:t xml:space="preserve">weights, HUD compared the national average private rent inflation rates and the CPI rent of primary residence to the national average of recent mover rents in the ACS from </w:t>
      </w:r>
      <w:r w:rsidR="002945A0" w:rsidRPr="00AC00ED">
        <w:t xml:space="preserve">2018 </w:t>
      </w:r>
      <w:r w:rsidRPr="00AC00ED">
        <w:t xml:space="preserve">to </w:t>
      </w:r>
      <w:r w:rsidR="002945A0" w:rsidRPr="00AC00ED">
        <w:t>2022</w:t>
      </w:r>
      <w:r w:rsidRPr="00AC00ED">
        <w:t xml:space="preserve">. </w:t>
      </w:r>
      <w:r w:rsidR="007F0FC1" w:rsidRPr="00AC00ED">
        <w:t xml:space="preserve"> </w:t>
      </w:r>
    </w:p>
    <w:p w14:paraId="26A4652B" w14:textId="77777777" w:rsidR="007F0FC1" w:rsidRPr="00AC00ED" w:rsidRDefault="007F0FC1" w:rsidP="007F0FC1">
      <w:pPr>
        <w:keepNext/>
        <w:keepLines/>
        <w:tabs>
          <w:tab w:val="center" w:pos="4680"/>
        </w:tabs>
        <w:spacing w:line="252" w:lineRule="auto"/>
        <w:rPr>
          <w:b/>
        </w:rPr>
      </w:pPr>
    </w:p>
    <w:p w14:paraId="0BC9DECB" w14:textId="04CE9825" w:rsidR="007F0FC1" w:rsidRPr="00AC00ED" w:rsidRDefault="007F0FC1" w:rsidP="007F0FC1">
      <w:pPr>
        <w:keepNext/>
        <w:keepLines/>
        <w:tabs>
          <w:tab w:val="center" w:pos="4680"/>
        </w:tabs>
        <w:spacing w:line="252" w:lineRule="auto"/>
      </w:pPr>
      <w:r w:rsidRPr="00AC00ED">
        <w:rPr>
          <w:b/>
        </w:rPr>
        <w:tab/>
      </w:r>
      <w:r w:rsidR="005D3315" w:rsidRPr="00AC00ED">
        <w:rPr>
          <w:b/>
          <w:sz w:val="28"/>
        </w:rPr>
        <w:t>4</w:t>
      </w:r>
      <w:r w:rsidRPr="00AC00ED">
        <w:rPr>
          <w:b/>
          <w:sz w:val="28"/>
        </w:rPr>
        <w:t>.2 Detailed Description</w:t>
      </w:r>
    </w:p>
    <w:p w14:paraId="5A74BFC0" w14:textId="77777777" w:rsidR="007F0FC1" w:rsidRPr="00AC00ED" w:rsidRDefault="007F0FC1" w:rsidP="007F0FC1">
      <w:pPr>
        <w:keepNext/>
        <w:keepLines/>
        <w:spacing w:line="252" w:lineRule="auto"/>
      </w:pPr>
    </w:p>
    <w:p w14:paraId="4BED16D2" w14:textId="28BD29A8" w:rsidR="007F0FC1" w:rsidRPr="00AC00ED" w:rsidRDefault="002E658D" w:rsidP="007F0FC1">
      <w:pPr>
        <w:keepNext/>
        <w:keepLines/>
        <w:spacing w:line="252" w:lineRule="auto"/>
      </w:pPr>
      <w:r>
        <w:rPr>
          <w:b/>
        </w:rPr>
        <w:t>4</w:t>
      </w:r>
      <w:r w:rsidR="007F0FC1" w:rsidRPr="00AC00ED">
        <w:rPr>
          <w:b/>
        </w:rPr>
        <w:t>.2.1</w:t>
      </w:r>
      <w:r w:rsidR="007F0FC1" w:rsidRPr="00AC00ED">
        <w:rPr>
          <w:b/>
        </w:rPr>
        <w:tab/>
      </w:r>
      <w:r w:rsidR="00A45AE6" w:rsidRPr="00AC00ED">
        <w:rPr>
          <w:b/>
        </w:rPr>
        <w:t xml:space="preserve">Determining the </w:t>
      </w:r>
      <w:r w:rsidR="00EE63F2" w:rsidRPr="00AC00ED">
        <w:rPr>
          <w:b/>
        </w:rPr>
        <w:t>W</w:t>
      </w:r>
      <w:r w:rsidR="00A45AE6" w:rsidRPr="00AC00ED">
        <w:rPr>
          <w:b/>
        </w:rPr>
        <w:t>eights</w:t>
      </w:r>
    </w:p>
    <w:p w14:paraId="6191499C" w14:textId="77777777" w:rsidR="007F0FC1" w:rsidRPr="00AC00ED" w:rsidRDefault="007F0FC1" w:rsidP="007F0FC1">
      <w:pPr>
        <w:keepNext/>
        <w:keepLines/>
        <w:spacing w:line="252" w:lineRule="auto"/>
      </w:pPr>
    </w:p>
    <w:p w14:paraId="3CE1529B" w14:textId="4ABB9B6A" w:rsidR="007F0FC1" w:rsidRDefault="0046152A" w:rsidP="00416AEC">
      <w:pPr>
        <w:spacing w:line="252" w:lineRule="auto"/>
        <w:ind w:firstLine="720"/>
      </w:pPr>
      <w:r w:rsidRPr="00AC00ED">
        <w:t xml:space="preserve">HUD weights the private data averages and overall CPI rent of primary residence in such a way as to minimize the root mean squared error (RMSE) between the resulting average and the ACS recent mover rents. When weighting the private data with the CPI rent of primary residence with weights of approximately </w:t>
      </w:r>
      <w:r w:rsidR="002945A0" w:rsidRPr="00AC00ED">
        <w:t>75</w:t>
      </w:r>
      <w:r w:rsidRPr="00AC00ED">
        <w:t xml:space="preserve"> percent and </w:t>
      </w:r>
      <w:r w:rsidR="002945A0" w:rsidRPr="00AC00ED">
        <w:t>25</w:t>
      </w:r>
      <w:r w:rsidRPr="00AC00ED">
        <w:t xml:space="preserve"> percent respectively, the RMSE </w:t>
      </w:r>
      <w:r w:rsidR="002945A0" w:rsidRPr="00AC00ED">
        <w:t xml:space="preserve">(a measure of accuracy) </w:t>
      </w:r>
      <w:r w:rsidRPr="00AC00ED">
        <w:t xml:space="preserve">is </w:t>
      </w:r>
      <w:r w:rsidR="002945A0" w:rsidRPr="00AC00ED">
        <w:t xml:space="preserve">minimized </w:t>
      </w:r>
      <w:r w:rsidRPr="00AC00ED">
        <w:t xml:space="preserve">at </w:t>
      </w:r>
      <w:r w:rsidR="002945A0" w:rsidRPr="00AC00ED">
        <w:t>2.80</w:t>
      </w:r>
      <w:r w:rsidRPr="00AC00ED">
        <w:t xml:space="preserve"> percent. No other combination of weights produces a lower RMSE. HUD will update the weights each year by adding the most recent years of ACS recent mover rents, private rent data, and CPI rent of primary residence to the analysis.</w:t>
      </w:r>
    </w:p>
    <w:p w14:paraId="6A23D8D2" w14:textId="77777777" w:rsidR="00956873" w:rsidRDefault="00956873" w:rsidP="00956873">
      <w:pPr>
        <w:spacing w:line="252" w:lineRule="auto"/>
      </w:pPr>
    </w:p>
    <w:p w14:paraId="1ECB6D0A" w14:textId="53514DDC" w:rsidR="00956873" w:rsidRDefault="002E658D" w:rsidP="00956873">
      <w:pPr>
        <w:keepNext/>
        <w:keepLines/>
        <w:spacing w:line="252" w:lineRule="auto"/>
        <w:rPr>
          <w:b/>
        </w:rPr>
      </w:pPr>
      <w:r>
        <w:rPr>
          <w:b/>
        </w:rPr>
        <w:t>4</w:t>
      </w:r>
      <w:r w:rsidR="00956873" w:rsidRPr="00AC00ED">
        <w:rPr>
          <w:b/>
        </w:rPr>
        <w:t>.2.</w:t>
      </w:r>
      <w:r w:rsidR="00956873">
        <w:rPr>
          <w:b/>
        </w:rPr>
        <w:t>2</w:t>
      </w:r>
      <w:r w:rsidR="00956873" w:rsidRPr="00AC00ED">
        <w:rPr>
          <w:b/>
        </w:rPr>
        <w:tab/>
      </w:r>
      <w:r w:rsidR="00912CB6">
        <w:rPr>
          <w:b/>
        </w:rPr>
        <w:t xml:space="preserve">Final </w:t>
      </w:r>
      <w:r w:rsidR="00AA031D">
        <w:rPr>
          <w:b/>
        </w:rPr>
        <w:t xml:space="preserve">AAF </w:t>
      </w:r>
      <w:r w:rsidR="008F311C">
        <w:rPr>
          <w:b/>
        </w:rPr>
        <w:t>Calculation</w:t>
      </w:r>
      <w:r w:rsidR="00356A8C">
        <w:rPr>
          <w:b/>
        </w:rPr>
        <w:t xml:space="preserve"> </w:t>
      </w:r>
    </w:p>
    <w:p w14:paraId="198847B1" w14:textId="77777777" w:rsidR="00C155D4" w:rsidRDefault="00C155D4" w:rsidP="00C155D4">
      <w:pPr>
        <w:keepNext/>
        <w:keepLines/>
        <w:spacing w:line="252" w:lineRule="auto"/>
        <w:ind w:firstLine="720"/>
      </w:pPr>
    </w:p>
    <w:p w14:paraId="0C51DAF9" w14:textId="3C785D5F" w:rsidR="00456898" w:rsidRDefault="00C155D4" w:rsidP="00A1150C">
      <w:pPr>
        <w:keepNext/>
        <w:keepLines/>
        <w:spacing w:line="252" w:lineRule="auto"/>
        <w:ind w:firstLine="720"/>
        <w:rPr>
          <w:b/>
        </w:rPr>
      </w:pPr>
      <w:r>
        <w:t xml:space="preserve">Upon determining the </w:t>
      </w:r>
      <w:r w:rsidR="007F7E43">
        <w:t xml:space="preserve">optimal weighting scheme, HUD calculates </w:t>
      </w:r>
      <w:r w:rsidR="001711BC">
        <w:t xml:space="preserve">an AAF for </w:t>
      </w:r>
      <w:r w:rsidR="007F7E43">
        <w:t xml:space="preserve">each </w:t>
      </w:r>
      <w:r w:rsidR="00994BCE">
        <w:t>area</w:t>
      </w:r>
      <w:r w:rsidR="007F7E43">
        <w:t xml:space="preserve"> </w:t>
      </w:r>
      <w:r w:rsidR="00A8015E">
        <w:t xml:space="preserve">as a function of the weighted average </w:t>
      </w:r>
      <w:r w:rsidR="00825FB6">
        <w:t>of the Private rent</w:t>
      </w:r>
      <w:r w:rsidR="00D57774">
        <w:t xml:space="preserve"> change</w:t>
      </w:r>
      <w:r w:rsidR="00825FB6">
        <w:t xml:space="preserve"> and CPI</w:t>
      </w:r>
      <w:r w:rsidR="00D57774">
        <w:t xml:space="preserve"> rent change.</w:t>
      </w:r>
    </w:p>
    <w:p w14:paraId="705297DA" w14:textId="77777777" w:rsidR="00847924" w:rsidRDefault="00847924" w:rsidP="00956873">
      <w:pPr>
        <w:keepNext/>
        <w:keepLines/>
        <w:spacing w:line="252" w:lineRule="auto"/>
        <w:rPr>
          <w:b/>
        </w:rPr>
      </w:pPr>
    </w:p>
    <w:tbl>
      <w:tblPr>
        <w:tblStyle w:val="TableGrid"/>
        <w:tblW w:w="0" w:type="auto"/>
        <w:jc w:val="center"/>
        <w:tblLook w:val="04A0" w:firstRow="1" w:lastRow="0" w:firstColumn="1" w:lastColumn="0" w:noHBand="0" w:noVBand="1"/>
      </w:tblPr>
      <w:tblGrid>
        <w:gridCol w:w="6565"/>
      </w:tblGrid>
      <w:tr w:rsidR="00847924" w14:paraId="146F35E3" w14:textId="77777777" w:rsidTr="000E4F46">
        <w:trPr>
          <w:trHeight w:val="750"/>
          <w:jc w:val="center"/>
        </w:trPr>
        <w:tc>
          <w:tcPr>
            <w:tcW w:w="6565" w:type="dxa"/>
          </w:tcPr>
          <w:p w14:paraId="60F3FF90" w14:textId="384787A4" w:rsidR="00847924" w:rsidRDefault="00847924" w:rsidP="00847924">
            <w:pPr>
              <w:keepNext/>
              <w:keepLines/>
              <w:spacing w:line="252" w:lineRule="auto"/>
              <w:rPr>
                <w:bCs/>
                <w:vertAlign w:val="subscript"/>
              </w:rPr>
            </w:pPr>
            <w:r w:rsidRPr="00327083">
              <w:rPr>
                <w:bCs/>
              </w:rPr>
              <w:t xml:space="preserve">AAF Highest Cost Utility Included = </w:t>
            </w:r>
            <w:r w:rsidR="00B07270">
              <w:rPr>
                <w:bCs/>
              </w:rPr>
              <w:t>W</w:t>
            </w:r>
            <w:r w:rsidR="00B07270" w:rsidRPr="00B07270">
              <w:rPr>
                <w:bCs/>
                <w:vertAlign w:val="subscript"/>
              </w:rPr>
              <w:t>p</w:t>
            </w:r>
            <w:r w:rsidRPr="00327083">
              <w:rPr>
                <w:bCs/>
              </w:rPr>
              <w:t xml:space="preserve"> * </w:t>
            </w:r>
            <w:proofErr w:type="spellStart"/>
            <w:r w:rsidR="00BA7737" w:rsidRPr="00327083">
              <w:rPr>
                <w:rFonts w:eastAsiaTheme="majorEastAsia"/>
                <w:color w:val="404040" w:themeColor="text1" w:themeTint="BF"/>
              </w:rPr>
              <w:t>GR</w:t>
            </w:r>
            <w:r w:rsidR="00BA7737" w:rsidRPr="00327083">
              <w:rPr>
                <w:rFonts w:eastAsiaTheme="majorEastAsia"/>
                <w:color w:val="404040" w:themeColor="text1" w:themeTint="BF"/>
                <w:vertAlign w:val="subscript"/>
              </w:rPr>
              <w:t>p</w:t>
            </w:r>
            <w:proofErr w:type="spellEnd"/>
            <w:r w:rsidRPr="00327083">
              <w:rPr>
                <w:bCs/>
              </w:rPr>
              <w:t xml:space="preserve"> + </w:t>
            </w:r>
            <w:proofErr w:type="spellStart"/>
            <w:r w:rsidR="00B07270">
              <w:rPr>
                <w:bCs/>
              </w:rPr>
              <w:t>W</w:t>
            </w:r>
            <w:r w:rsidR="00B07270" w:rsidRPr="00B07270">
              <w:rPr>
                <w:bCs/>
                <w:vertAlign w:val="subscript"/>
              </w:rPr>
              <w:t>cpi</w:t>
            </w:r>
            <w:proofErr w:type="spellEnd"/>
            <w:r w:rsidRPr="00327083">
              <w:rPr>
                <w:bCs/>
              </w:rPr>
              <w:t xml:space="preserve"> * </w:t>
            </w:r>
            <w:proofErr w:type="spellStart"/>
            <w:r w:rsidR="00BA7737" w:rsidRPr="00327083">
              <w:rPr>
                <w:bCs/>
              </w:rPr>
              <w:t>GR</w:t>
            </w:r>
            <w:r w:rsidR="00BA7737" w:rsidRPr="00327083">
              <w:rPr>
                <w:bCs/>
                <w:vertAlign w:val="subscript"/>
              </w:rPr>
              <w:t>cpi</w:t>
            </w:r>
            <w:proofErr w:type="spellEnd"/>
          </w:p>
          <w:p w14:paraId="6A52B949" w14:textId="77777777" w:rsidR="00327083" w:rsidRDefault="00327083" w:rsidP="00847924">
            <w:pPr>
              <w:keepNext/>
              <w:keepLines/>
              <w:spacing w:line="252" w:lineRule="auto"/>
              <w:rPr>
                <w:bCs/>
              </w:rPr>
            </w:pPr>
          </w:p>
          <w:p w14:paraId="02626953" w14:textId="343FC982" w:rsidR="00847924" w:rsidRPr="00327083" w:rsidRDefault="00847924" w:rsidP="00327083">
            <w:pPr>
              <w:keepNext/>
              <w:keepLines/>
              <w:spacing w:line="252" w:lineRule="auto"/>
              <w:rPr>
                <w:bCs/>
              </w:rPr>
            </w:pPr>
            <w:r w:rsidRPr="00327083">
              <w:rPr>
                <w:bCs/>
              </w:rPr>
              <w:t xml:space="preserve">AAF Highest Cost Utility Excluded = </w:t>
            </w:r>
            <w:r w:rsidR="00B07270">
              <w:rPr>
                <w:bCs/>
              </w:rPr>
              <w:t>W</w:t>
            </w:r>
            <w:r w:rsidR="00B07270" w:rsidRPr="00B07270">
              <w:rPr>
                <w:bCs/>
                <w:vertAlign w:val="subscript"/>
              </w:rPr>
              <w:t>p</w:t>
            </w:r>
            <w:r w:rsidR="00B07270" w:rsidRPr="00327083">
              <w:rPr>
                <w:bCs/>
              </w:rPr>
              <w:t xml:space="preserve"> </w:t>
            </w:r>
            <w:r w:rsidRPr="00327083">
              <w:rPr>
                <w:bCs/>
              </w:rPr>
              <w:t xml:space="preserve">* </w:t>
            </w:r>
            <w:r w:rsidR="00BA7737" w:rsidRPr="00327083">
              <w:rPr>
                <w:bCs/>
              </w:rPr>
              <w:t>SR</w:t>
            </w:r>
            <w:r w:rsidR="00BA7737" w:rsidRPr="00327083">
              <w:rPr>
                <w:bCs/>
                <w:vertAlign w:val="subscript"/>
              </w:rPr>
              <w:t>p</w:t>
            </w:r>
            <w:r w:rsidRPr="00327083">
              <w:rPr>
                <w:bCs/>
              </w:rPr>
              <w:t xml:space="preserve"> + </w:t>
            </w:r>
            <w:proofErr w:type="spellStart"/>
            <w:r w:rsidR="00B07270">
              <w:rPr>
                <w:bCs/>
              </w:rPr>
              <w:t>W</w:t>
            </w:r>
            <w:r w:rsidR="00B07270" w:rsidRPr="00B07270">
              <w:rPr>
                <w:bCs/>
                <w:vertAlign w:val="subscript"/>
              </w:rPr>
              <w:t>cpi</w:t>
            </w:r>
            <w:proofErr w:type="spellEnd"/>
            <w:r w:rsidR="00B07270" w:rsidRPr="00327083">
              <w:rPr>
                <w:bCs/>
              </w:rPr>
              <w:t xml:space="preserve"> </w:t>
            </w:r>
            <w:r w:rsidRPr="00327083">
              <w:rPr>
                <w:bCs/>
              </w:rPr>
              <w:t xml:space="preserve">* </w:t>
            </w:r>
            <w:proofErr w:type="spellStart"/>
            <w:r w:rsidR="00BA7737" w:rsidRPr="00327083">
              <w:rPr>
                <w:bCs/>
              </w:rPr>
              <w:t>SR</w:t>
            </w:r>
            <w:r w:rsidR="00ED37B1" w:rsidRPr="00327083">
              <w:rPr>
                <w:bCs/>
                <w:vertAlign w:val="subscript"/>
              </w:rPr>
              <w:t>cpi</w:t>
            </w:r>
            <w:proofErr w:type="spellEnd"/>
          </w:p>
        </w:tc>
      </w:tr>
    </w:tbl>
    <w:p w14:paraId="08A00A3D" w14:textId="77777777" w:rsidR="006D2023" w:rsidRDefault="006D2023" w:rsidP="00956873">
      <w:pPr>
        <w:keepNext/>
        <w:keepLines/>
        <w:spacing w:line="252" w:lineRule="auto"/>
        <w:rPr>
          <w:b/>
        </w:rPr>
      </w:pPr>
    </w:p>
    <w:p w14:paraId="268CB71D" w14:textId="11346A8F" w:rsidR="000E4F46" w:rsidRDefault="000E4F46" w:rsidP="000E4F46">
      <w:pPr>
        <w:spacing w:after="120" w:line="264" w:lineRule="auto"/>
      </w:pPr>
      <w:proofErr w:type="spellStart"/>
      <w:r w:rsidRPr="00AC00ED">
        <w:rPr>
          <w:b/>
        </w:rPr>
        <w:t>GR</w:t>
      </w:r>
      <w:r w:rsidR="00C22354" w:rsidRPr="00C22354">
        <w:rPr>
          <w:b/>
          <w:vertAlign w:val="subscript"/>
        </w:rPr>
        <w:t>p</w:t>
      </w:r>
      <w:proofErr w:type="spellEnd"/>
      <w:r w:rsidRPr="00AC00ED">
        <w:t xml:space="preserve"> is the change in </w:t>
      </w:r>
      <w:r w:rsidR="00C22354">
        <w:t xml:space="preserve">private </w:t>
      </w:r>
      <w:r w:rsidRPr="00AC00ED">
        <w:t>gross rents from year to year;</w:t>
      </w:r>
    </w:p>
    <w:p w14:paraId="13B8ECEF" w14:textId="0C597FC6" w:rsidR="00B12E8A" w:rsidRDefault="00B12E8A" w:rsidP="000E4F46">
      <w:pPr>
        <w:spacing w:after="120" w:line="264" w:lineRule="auto"/>
      </w:pPr>
      <w:r w:rsidRPr="00AC00ED">
        <w:rPr>
          <w:b/>
        </w:rPr>
        <w:t>SR</w:t>
      </w:r>
      <w:r w:rsidRPr="00C22354">
        <w:rPr>
          <w:b/>
          <w:vertAlign w:val="subscript"/>
        </w:rPr>
        <w:t>p</w:t>
      </w:r>
      <w:r w:rsidRPr="00AC00ED">
        <w:t xml:space="preserve"> is the change in private shelter rents from year to year ;</w:t>
      </w:r>
    </w:p>
    <w:p w14:paraId="6B07F6A7" w14:textId="07EC2158" w:rsidR="00B12E8A" w:rsidRDefault="00B12E8A" w:rsidP="000E4F46">
      <w:pPr>
        <w:spacing w:after="120" w:line="264" w:lineRule="auto"/>
      </w:pPr>
      <w:r>
        <w:rPr>
          <w:b/>
        </w:rPr>
        <w:t>W</w:t>
      </w:r>
      <w:r w:rsidRPr="00C22354">
        <w:rPr>
          <w:b/>
          <w:vertAlign w:val="subscript"/>
        </w:rPr>
        <w:t>p</w:t>
      </w:r>
      <w:r>
        <w:rPr>
          <w:b/>
          <w:vertAlign w:val="subscript"/>
        </w:rPr>
        <w:t xml:space="preserve"> </w:t>
      </w:r>
      <w:r w:rsidRPr="00AC00ED">
        <w:t xml:space="preserve">is the </w:t>
      </w:r>
      <w:r w:rsidR="0045088D">
        <w:t>weight</w:t>
      </w:r>
      <w:r w:rsidR="00730CBD">
        <w:t xml:space="preserve"> allocated to private data;</w:t>
      </w:r>
    </w:p>
    <w:p w14:paraId="3CDC378D" w14:textId="775A6449" w:rsidR="00C22354" w:rsidRPr="00AC00ED" w:rsidRDefault="00C22354" w:rsidP="000E4F46">
      <w:pPr>
        <w:spacing w:after="120" w:line="264" w:lineRule="auto"/>
      </w:pPr>
      <w:proofErr w:type="spellStart"/>
      <w:r w:rsidRPr="00AC00ED">
        <w:rPr>
          <w:b/>
        </w:rPr>
        <w:t>GR</w:t>
      </w:r>
      <w:r>
        <w:rPr>
          <w:b/>
          <w:vertAlign w:val="subscript"/>
        </w:rPr>
        <w:t>cpi</w:t>
      </w:r>
      <w:proofErr w:type="spellEnd"/>
      <w:r w:rsidRPr="00AC00ED">
        <w:t xml:space="preserve"> is the change in </w:t>
      </w:r>
      <w:r>
        <w:t xml:space="preserve">CPI </w:t>
      </w:r>
      <w:r w:rsidRPr="00AC00ED">
        <w:t>gross rents from year to year;</w:t>
      </w:r>
    </w:p>
    <w:p w14:paraId="77533C14" w14:textId="59249540" w:rsidR="00C22354" w:rsidRDefault="00C22354" w:rsidP="000E4F46">
      <w:pPr>
        <w:spacing w:after="120" w:line="264" w:lineRule="auto"/>
      </w:pPr>
      <w:proofErr w:type="spellStart"/>
      <w:r w:rsidRPr="00AC00ED">
        <w:rPr>
          <w:b/>
        </w:rPr>
        <w:t>SR</w:t>
      </w:r>
      <w:r>
        <w:rPr>
          <w:b/>
          <w:vertAlign w:val="subscript"/>
        </w:rPr>
        <w:t>cpi</w:t>
      </w:r>
      <w:proofErr w:type="spellEnd"/>
      <w:r w:rsidRPr="00AC00ED">
        <w:t xml:space="preserve"> is the change in </w:t>
      </w:r>
      <w:r>
        <w:t>CPI</w:t>
      </w:r>
      <w:r w:rsidRPr="00AC00ED">
        <w:t xml:space="preserve"> shelter rents from year to year ;</w:t>
      </w:r>
    </w:p>
    <w:p w14:paraId="63E14F48" w14:textId="7A0823E8" w:rsidR="00730CBD" w:rsidRDefault="00730CBD" w:rsidP="00730CBD">
      <w:pPr>
        <w:spacing w:after="120" w:line="264" w:lineRule="auto"/>
      </w:pPr>
      <w:proofErr w:type="spellStart"/>
      <w:r>
        <w:rPr>
          <w:b/>
        </w:rPr>
        <w:t>W</w:t>
      </w:r>
      <w:r>
        <w:rPr>
          <w:b/>
          <w:vertAlign w:val="subscript"/>
        </w:rPr>
        <w:t>cpi</w:t>
      </w:r>
      <w:proofErr w:type="spellEnd"/>
      <w:r>
        <w:rPr>
          <w:b/>
          <w:vertAlign w:val="subscript"/>
        </w:rPr>
        <w:t xml:space="preserve"> </w:t>
      </w:r>
      <w:r w:rsidRPr="00AC00ED">
        <w:t xml:space="preserve">is the </w:t>
      </w:r>
      <w:r w:rsidR="0045088D">
        <w:t>weight</w:t>
      </w:r>
      <w:r>
        <w:t xml:space="preserve"> allocated to CPI data;</w:t>
      </w:r>
    </w:p>
    <w:p w14:paraId="4B5A6DAA" w14:textId="77777777" w:rsidR="00B12E8A" w:rsidRPr="00AC00ED" w:rsidRDefault="00B12E8A" w:rsidP="000E4F46">
      <w:pPr>
        <w:spacing w:after="120" w:line="264" w:lineRule="auto"/>
      </w:pPr>
    </w:p>
    <w:p w14:paraId="37255440" w14:textId="77777777" w:rsidR="009E32CA" w:rsidRPr="00AC00ED" w:rsidRDefault="009E32CA" w:rsidP="009E32CA">
      <w:pPr>
        <w:spacing w:line="252" w:lineRule="auto"/>
        <w:rPr>
          <w:b/>
        </w:rPr>
      </w:pPr>
    </w:p>
    <w:p w14:paraId="4ED2D07E" w14:textId="77777777" w:rsidR="00416AEC" w:rsidRPr="00AC00ED" w:rsidRDefault="00416AEC" w:rsidP="009E32CA">
      <w:pPr>
        <w:spacing w:line="252" w:lineRule="auto"/>
        <w:rPr>
          <w:b/>
        </w:rPr>
      </w:pPr>
    </w:p>
    <w:sectPr w:rsidR="00416AEC" w:rsidRPr="00AC00ED" w:rsidSect="00787895">
      <w:endnotePr>
        <w:numFmt w:val="decimal"/>
      </w:endnotePr>
      <w:pgSz w:w="12240" w:h="15840" w:code="1"/>
      <w:pgMar w:top="1220" w:right="1440" w:bottom="108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4AA7F" w14:textId="77777777" w:rsidR="00BD48EC" w:rsidRDefault="00BD48EC" w:rsidP="009E32CA">
      <w:r>
        <w:separator/>
      </w:r>
    </w:p>
  </w:endnote>
  <w:endnote w:type="continuationSeparator" w:id="0">
    <w:p w14:paraId="531DA7E6" w14:textId="77777777" w:rsidR="00BD48EC" w:rsidRDefault="00BD48EC" w:rsidP="009E32CA">
      <w:r>
        <w:continuationSeparator/>
      </w:r>
    </w:p>
  </w:endnote>
  <w:endnote w:type="continuationNotice" w:id="1">
    <w:p w14:paraId="40BA624E" w14:textId="77777777" w:rsidR="00BD48EC" w:rsidRDefault="00BD48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C29E4" w14:textId="77777777" w:rsidR="00BD48EC" w:rsidRDefault="00BD48EC" w:rsidP="009E32CA">
      <w:r>
        <w:separator/>
      </w:r>
    </w:p>
  </w:footnote>
  <w:footnote w:type="continuationSeparator" w:id="0">
    <w:p w14:paraId="5CEDE513" w14:textId="77777777" w:rsidR="00BD48EC" w:rsidRDefault="00BD48EC" w:rsidP="009E32CA">
      <w:r>
        <w:continuationSeparator/>
      </w:r>
    </w:p>
  </w:footnote>
  <w:footnote w:type="continuationNotice" w:id="1">
    <w:p w14:paraId="39B24FB8" w14:textId="77777777" w:rsidR="00BD48EC" w:rsidRDefault="00BD48EC"/>
  </w:footnote>
  <w:footnote w:id="2">
    <w:p w14:paraId="7171BF57" w14:textId="77777777" w:rsidR="009E32CA" w:rsidRDefault="009E32CA" w:rsidP="009E32CA">
      <w:pPr>
        <w:spacing w:after="240"/>
      </w:pPr>
      <w:r>
        <w:rPr>
          <w:rStyle w:val="FootnoteReference"/>
          <w:sz w:val="16"/>
        </w:rPr>
        <w:footnoteRef/>
      </w:r>
      <w:r>
        <w:rPr>
          <w:sz w:val="16"/>
        </w:rPr>
        <w:t xml:space="preserve"> Prepared by the Program Parameters &amp; Research Division, Office of Policy Development and Research, Department of Housing and Urban Development. Portions were derived from earlier descriptions issued in 1981, 1991, 1999 and 2007.  </w:t>
      </w:r>
    </w:p>
  </w:footnote>
  <w:footnote w:id="3">
    <w:p w14:paraId="33C66218" w14:textId="77777777" w:rsidR="009E32CA" w:rsidRDefault="009E32CA" w:rsidP="009E32CA">
      <w:pPr>
        <w:spacing w:after="240"/>
      </w:pPr>
      <w:r>
        <w:rPr>
          <w:rStyle w:val="FootnoteReference"/>
          <w:sz w:val="16"/>
        </w:rPr>
        <w:footnoteRef/>
      </w:r>
      <w:r>
        <w:rPr>
          <w:sz w:val="16"/>
        </w:rPr>
        <w:t xml:space="preserve"> A landlord who pays for heat or air conditioning (where the latter is the highest-cost utility) gets an adjustment listed as "Highest Utility Included;" this adjustment is based on a gross rent concept. Where tenants pay for their own heat (or air conditioning), the AAF is listed under the column "Highest Utility Excluded;" the landlord in this case gets a rent adjustment based on a shelter rent concept.</w:t>
      </w:r>
    </w:p>
  </w:footnote>
  <w:footnote w:id="4">
    <w:p w14:paraId="73313454" w14:textId="3A799293" w:rsidR="00872C48" w:rsidRPr="00872C48" w:rsidRDefault="00872C48">
      <w:pPr>
        <w:pStyle w:val="FootnoteText"/>
        <w:rPr>
          <w:rFonts w:ascii="Times New Roman" w:hAnsi="Times New Roman" w:cs="Times New Roman"/>
          <w:sz w:val="16"/>
          <w:szCs w:val="16"/>
        </w:rPr>
      </w:pPr>
      <w:r w:rsidRPr="00872C48">
        <w:rPr>
          <w:rStyle w:val="FootnoteReference"/>
          <w:rFonts w:ascii="Times New Roman" w:hAnsi="Times New Roman" w:cs="Times New Roman"/>
          <w:sz w:val="16"/>
          <w:szCs w:val="16"/>
        </w:rPr>
        <w:footnoteRef/>
      </w:r>
      <w:r w:rsidRPr="00872C48">
        <w:rPr>
          <w:rFonts w:ascii="Times New Roman" w:hAnsi="Times New Roman" w:cs="Times New Roman"/>
          <w:sz w:val="16"/>
          <w:szCs w:val="16"/>
        </w:rPr>
        <w:t xml:space="preserve"> </w:t>
      </w:r>
      <w:hyperlink r:id="rId1" w:history="1">
        <w:r w:rsidRPr="00872C48">
          <w:rPr>
            <w:rStyle w:val="cf01"/>
            <w:rFonts w:ascii="Times New Roman" w:hAnsi="Times New Roman" w:cs="Times New Roman"/>
            <w:color w:val="0000FF"/>
            <w:sz w:val="16"/>
            <w:szCs w:val="16"/>
            <w:u w:val="single"/>
          </w:rPr>
          <w:t>https://www.bls.gov/opub/hom/pdf/cpi-20180214.pdf</w:t>
        </w:r>
      </w:hyperlink>
    </w:p>
  </w:footnote>
  <w:footnote w:id="5">
    <w:p w14:paraId="1625470B" w14:textId="72F04FC7" w:rsidR="00D31F3D" w:rsidRPr="004C26EA" w:rsidRDefault="00D31F3D" w:rsidP="00D31F3D">
      <w:pPr>
        <w:pStyle w:val="FootnoteText"/>
        <w:rPr>
          <w:rFonts w:ascii="Times New Roman" w:hAnsi="Times New Roman" w:cs="Times New Roman"/>
        </w:rPr>
      </w:pPr>
      <w:r w:rsidRPr="004C26EA">
        <w:rPr>
          <w:rStyle w:val="FootnoteReference"/>
          <w:rFonts w:ascii="Times New Roman" w:hAnsi="Times New Roman" w:cs="Times New Roman"/>
          <w:sz w:val="16"/>
          <w:szCs w:val="16"/>
        </w:rPr>
        <w:footnoteRef/>
      </w:r>
      <w:r w:rsidRPr="004C26EA">
        <w:rPr>
          <w:rFonts w:ascii="Times New Roman" w:hAnsi="Times New Roman" w:cs="Times New Roman"/>
          <w:sz w:val="16"/>
          <w:szCs w:val="16"/>
        </w:rPr>
        <w:t xml:space="preserve"> RealPage, REIS, CoStar &amp; CoreLogic come from HUD purchased data. Apartment</w:t>
      </w:r>
      <w:r w:rsidR="00C66CFC">
        <w:rPr>
          <w:rFonts w:ascii="Times New Roman" w:hAnsi="Times New Roman" w:cs="Times New Roman"/>
          <w:sz w:val="16"/>
          <w:szCs w:val="16"/>
        </w:rPr>
        <w:t xml:space="preserve"> </w:t>
      </w:r>
      <w:r w:rsidRPr="004C26EA">
        <w:rPr>
          <w:rFonts w:ascii="Times New Roman" w:hAnsi="Times New Roman" w:cs="Times New Roman"/>
          <w:sz w:val="16"/>
          <w:szCs w:val="16"/>
        </w:rPr>
        <w:t>List and Zillow are publicly available online.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0464A"/>
    <w:multiLevelType w:val="hybridMultilevel"/>
    <w:tmpl w:val="C030673C"/>
    <w:lvl w:ilvl="0" w:tplc="FFFFFFFF">
      <w:start w:val="1"/>
      <w:numFmt w:val="decimal"/>
      <w:lvlText w:val="%1)"/>
      <w:lvlJc w:val="left"/>
      <w:pPr>
        <w:ind w:left="360" w:hanging="360"/>
      </w:p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435273BA"/>
    <w:multiLevelType w:val="hybridMultilevel"/>
    <w:tmpl w:val="2978463E"/>
    <w:lvl w:ilvl="0" w:tplc="666A906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8637864">
    <w:abstractNumId w:val="0"/>
  </w:num>
  <w:num w:numId="2" w16cid:durableId="1822457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CA"/>
    <w:rsid w:val="000333AA"/>
    <w:rsid w:val="00051765"/>
    <w:rsid w:val="00053006"/>
    <w:rsid w:val="0006480D"/>
    <w:rsid w:val="00094921"/>
    <w:rsid w:val="000E4F46"/>
    <w:rsid w:val="000E5470"/>
    <w:rsid w:val="000E622F"/>
    <w:rsid w:val="00135D9F"/>
    <w:rsid w:val="001415F9"/>
    <w:rsid w:val="001459DC"/>
    <w:rsid w:val="0015168C"/>
    <w:rsid w:val="00151FFB"/>
    <w:rsid w:val="00152F2F"/>
    <w:rsid w:val="00155B52"/>
    <w:rsid w:val="001711BC"/>
    <w:rsid w:val="001B39D1"/>
    <w:rsid w:val="001C6266"/>
    <w:rsid w:val="001D7575"/>
    <w:rsid w:val="00246CB1"/>
    <w:rsid w:val="00265EB0"/>
    <w:rsid w:val="00272B36"/>
    <w:rsid w:val="00277D4C"/>
    <w:rsid w:val="002927CB"/>
    <w:rsid w:val="002945A0"/>
    <w:rsid w:val="002D5406"/>
    <w:rsid w:val="002E0811"/>
    <w:rsid w:val="002E1645"/>
    <w:rsid w:val="002E658D"/>
    <w:rsid w:val="002F0E76"/>
    <w:rsid w:val="00327083"/>
    <w:rsid w:val="00327236"/>
    <w:rsid w:val="00330392"/>
    <w:rsid w:val="003479E9"/>
    <w:rsid w:val="00356A8C"/>
    <w:rsid w:val="00376C45"/>
    <w:rsid w:val="00376E95"/>
    <w:rsid w:val="003800EC"/>
    <w:rsid w:val="003A1D38"/>
    <w:rsid w:val="003B16A9"/>
    <w:rsid w:val="003B26CD"/>
    <w:rsid w:val="003F4C23"/>
    <w:rsid w:val="003F6DFE"/>
    <w:rsid w:val="00412281"/>
    <w:rsid w:val="00416AEC"/>
    <w:rsid w:val="00441412"/>
    <w:rsid w:val="00445739"/>
    <w:rsid w:val="0045088D"/>
    <w:rsid w:val="00456898"/>
    <w:rsid w:val="0046152A"/>
    <w:rsid w:val="00465C2D"/>
    <w:rsid w:val="004A654D"/>
    <w:rsid w:val="004B4A8C"/>
    <w:rsid w:val="004C26EA"/>
    <w:rsid w:val="004D132B"/>
    <w:rsid w:val="00506B17"/>
    <w:rsid w:val="00544FB4"/>
    <w:rsid w:val="00545363"/>
    <w:rsid w:val="00564FD5"/>
    <w:rsid w:val="00572DAD"/>
    <w:rsid w:val="005769E1"/>
    <w:rsid w:val="00580651"/>
    <w:rsid w:val="00584968"/>
    <w:rsid w:val="005962D1"/>
    <w:rsid w:val="005B2335"/>
    <w:rsid w:val="005B3AD2"/>
    <w:rsid w:val="005D2F05"/>
    <w:rsid w:val="005D3315"/>
    <w:rsid w:val="005D3740"/>
    <w:rsid w:val="005D3ED6"/>
    <w:rsid w:val="005D67CF"/>
    <w:rsid w:val="005D7B2B"/>
    <w:rsid w:val="005E0BD0"/>
    <w:rsid w:val="006444C0"/>
    <w:rsid w:val="00647905"/>
    <w:rsid w:val="00653F79"/>
    <w:rsid w:val="00673E2F"/>
    <w:rsid w:val="00680953"/>
    <w:rsid w:val="0068259D"/>
    <w:rsid w:val="00684415"/>
    <w:rsid w:val="00684F45"/>
    <w:rsid w:val="006A32E9"/>
    <w:rsid w:val="006A4416"/>
    <w:rsid w:val="006A76EB"/>
    <w:rsid w:val="006B5DAD"/>
    <w:rsid w:val="006C26AF"/>
    <w:rsid w:val="006D2023"/>
    <w:rsid w:val="00730CBD"/>
    <w:rsid w:val="0073325C"/>
    <w:rsid w:val="00751857"/>
    <w:rsid w:val="00753C18"/>
    <w:rsid w:val="00761E2D"/>
    <w:rsid w:val="00787895"/>
    <w:rsid w:val="007964B6"/>
    <w:rsid w:val="007A1DC8"/>
    <w:rsid w:val="007C1719"/>
    <w:rsid w:val="007C53EC"/>
    <w:rsid w:val="007D3644"/>
    <w:rsid w:val="007D6152"/>
    <w:rsid w:val="007E5C0D"/>
    <w:rsid w:val="007F0FC1"/>
    <w:rsid w:val="007F29D0"/>
    <w:rsid w:val="007F7E43"/>
    <w:rsid w:val="008215F9"/>
    <w:rsid w:val="00825FB6"/>
    <w:rsid w:val="00832F9D"/>
    <w:rsid w:val="008344FE"/>
    <w:rsid w:val="00837F3D"/>
    <w:rsid w:val="00847161"/>
    <w:rsid w:val="00847924"/>
    <w:rsid w:val="00847B3A"/>
    <w:rsid w:val="008646C0"/>
    <w:rsid w:val="00872C48"/>
    <w:rsid w:val="00876E98"/>
    <w:rsid w:val="008A4573"/>
    <w:rsid w:val="008A4A2C"/>
    <w:rsid w:val="008B1578"/>
    <w:rsid w:val="008C426C"/>
    <w:rsid w:val="008E150F"/>
    <w:rsid w:val="008E6481"/>
    <w:rsid w:val="008E6E7B"/>
    <w:rsid w:val="008F311C"/>
    <w:rsid w:val="008F3DBC"/>
    <w:rsid w:val="00903AEC"/>
    <w:rsid w:val="00903D82"/>
    <w:rsid w:val="00905C25"/>
    <w:rsid w:val="00912CB6"/>
    <w:rsid w:val="0091779B"/>
    <w:rsid w:val="00920019"/>
    <w:rsid w:val="0093408E"/>
    <w:rsid w:val="0094169F"/>
    <w:rsid w:val="00954C2C"/>
    <w:rsid w:val="00956873"/>
    <w:rsid w:val="00964F81"/>
    <w:rsid w:val="00994BCE"/>
    <w:rsid w:val="009C2AF9"/>
    <w:rsid w:val="009E32CA"/>
    <w:rsid w:val="00A00FAF"/>
    <w:rsid w:val="00A1150C"/>
    <w:rsid w:val="00A21F58"/>
    <w:rsid w:val="00A33CD1"/>
    <w:rsid w:val="00A43079"/>
    <w:rsid w:val="00A45AE6"/>
    <w:rsid w:val="00A5019A"/>
    <w:rsid w:val="00A8015E"/>
    <w:rsid w:val="00A80BCC"/>
    <w:rsid w:val="00A91AC0"/>
    <w:rsid w:val="00AA031D"/>
    <w:rsid w:val="00AC00ED"/>
    <w:rsid w:val="00AE2DC1"/>
    <w:rsid w:val="00B07270"/>
    <w:rsid w:val="00B10FF0"/>
    <w:rsid w:val="00B118DB"/>
    <w:rsid w:val="00B12E8A"/>
    <w:rsid w:val="00B2263D"/>
    <w:rsid w:val="00B85F85"/>
    <w:rsid w:val="00BA2B06"/>
    <w:rsid w:val="00BA7737"/>
    <w:rsid w:val="00BB4BB6"/>
    <w:rsid w:val="00BC76FF"/>
    <w:rsid w:val="00BD48EC"/>
    <w:rsid w:val="00BD6105"/>
    <w:rsid w:val="00BE6ADE"/>
    <w:rsid w:val="00BF4747"/>
    <w:rsid w:val="00C04B45"/>
    <w:rsid w:val="00C155D4"/>
    <w:rsid w:val="00C21450"/>
    <w:rsid w:val="00C22354"/>
    <w:rsid w:val="00C35D8D"/>
    <w:rsid w:val="00C56500"/>
    <w:rsid w:val="00C64B3A"/>
    <w:rsid w:val="00C66CFC"/>
    <w:rsid w:val="00C849FE"/>
    <w:rsid w:val="00C84FA2"/>
    <w:rsid w:val="00C958A5"/>
    <w:rsid w:val="00CA21B0"/>
    <w:rsid w:val="00CA3F60"/>
    <w:rsid w:val="00CB22AE"/>
    <w:rsid w:val="00CE3852"/>
    <w:rsid w:val="00CF3875"/>
    <w:rsid w:val="00D0676C"/>
    <w:rsid w:val="00D111B9"/>
    <w:rsid w:val="00D1640C"/>
    <w:rsid w:val="00D31F3D"/>
    <w:rsid w:val="00D32B0E"/>
    <w:rsid w:val="00D33EAF"/>
    <w:rsid w:val="00D35A80"/>
    <w:rsid w:val="00D451A8"/>
    <w:rsid w:val="00D57774"/>
    <w:rsid w:val="00D6794C"/>
    <w:rsid w:val="00D86FE0"/>
    <w:rsid w:val="00D90EDC"/>
    <w:rsid w:val="00DF5196"/>
    <w:rsid w:val="00DF6F42"/>
    <w:rsid w:val="00E23D1A"/>
    <w:rsid w:val="00E42A99"/>
    <w:rsid w:val="00E548E5"/>
    <w:rsid w:val="00E54E42"/>
    <w:rsid w:val="00ED37B1"/>
    <w:rsid w:val="00EE63F2"/>
    <w:rsid w:val="00F02B13"/>
    <w:rsid w:val="00F036CF"/>
    <w:rsid w:val="00F131D8"/>
    <w:rsid w:val="00F231DC"/>
    <w:rsid w:val="00F4688D"/>
    <w:rsid w:val="00F549F2"/>
    <w:rsid w:val="00F866DD"/>
    <w:rsid w:val="00F9127D"/>
    <w:rsid w:val="00F935AF"/>
    <w:rsid w:val="00FB1B62"/>
    <w:rsid w:val="00FB33B8"/>
    <w:rsid w:val="00FD22DD"/>
    <w:rsid w:val="4C777938"/>
    <w:rsid w:val="7C40A2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FE565"/>
  <w15:chartTrackingRefBased/>
  <w15:docId w15:val="{35DEFD32-AD2A-4149-BA3D-B7BCCD88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2CA"/>
    <w:pPr>
      <w:widowControl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9E32CA"/>
  </w:style>
  <w:style w:type="paragraph" w:styleId="Footer">
    <w:name w:val="footer"/>
    <w:basedOn w:val="Normal"/>
    <w:link w:val="FooterChar"/>
    <w:semiHidden/>
    <w:rsid w:val="009E32CA"/>
    <w:pPr>
      <w:tabs>
        <w:tab w:val="center" w:pos="4320"/>
        <w:tab w:val="right" w:pos="8640"/>
      </w:tabs>
    </w:pPr>
  </w:style>
  <w:style w:type="character" w:customStyle="1" w:styleId="FooterChar">
    <w:name w:val="Footer Char"/>
    <w:basedOn w:val="DefaultParagraphFont"/>
    <w:link w:val="Footer"/>
    <w:semiHidden/>
    <w:rsid w:val="009E32CA"/>
    <w:rPr>
      <w:rFonts w:ascii="Times New Roman" w:eastAsia="Times New Roman" w:hAnsi="Times New Roman" w:cs="Times New Roman"/>
      <w:sz w:val="24"/>
      <w:szCs w:val="20"/>
    </w:rPr>
  </w:style>
  <w:style w:type="character" w:styleId="CommentReference">
    <w:name w:val="annotation reference"/>
    <w:basedOn w:val="DefaultParagraphFont"/>
    <w:semiHidden/>
    <w:rsid w:val="009E32CA"/>
    <w:rPr>
      <w:sz w:val="16"/>
    </w:rPr>
  </w:style>
  <w:style w:type="paragraph" w:styleId="CommentText">
    <w:name w:val="annotation text"/>
    <w:basedOn w:val="Normal"/>
    <w:link w:val="CommentTextChar"/>
    <w:semiHidden/>
    <w:rsid w:val="009E32CA"/>
    <w:rPr>
      <w:sz w:val="20"/>
    </w:rPr>
  </w:style>
  <w:style w:type="character" w:customStyle="1" w:styleId="CommentTextChar">
    <w:name w:val="Comment Text Char"/>
    <w:basedOn w:val="DefaultParagraphFont"/>
    <w:link w:val="CommentText"/>
    <w:semiHidden/>
    <w:rsid w:val="009E32CA"/>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9E32CA"/>
    <w:pPr>
      <w:tabs>
        <w:tab w:val="left" w:pos="-1440"/>
      </w:tabs>
      <w:spacing w:line="252" w:lineRule="auto"/>
      <w:ind w:left="720" w:hanging="720"/>
    </w:pPr>
  </w:style>
  <w:style w:type="character" w:customStyle="1" w:styleId="BodyTextIndentChar">
    <w:name w:val="Body Text Indent Char"/>
    <w:basedOn w:val="DefaultParagraphFont"/>
    <w:link w:val="BodyTextIndent"/>
    <w:semiHidden/>
    <w:rsid w:val="009E32CA"/>
    <w:rPr>
      <w:rFonts w:ascii="Times New Roman" w:eastAsia="Times New Roman" w:hAnsi="Times New Roman" w:cs="Times New Roman"/>
      <w:sz w:val="24"/>
      <w:szCs w:val="20"/>
    </w:rPr>
  </w:style>
  <w:style w:type="character" w:styleId="Hyperlink">
    <w:name w:val="Hyperlink"/>
    <w:basedOn w:val="DefaultParagraphFont"/>
    <w:uiPriority w:val="99"/>
    <w:unhideWhenUsed/>
    <w:rsid w:val="009E32CA"/>
    <w:rPr>
      <w:color w:val="0563C1" w:themeColor="hyperlink"/>
      <w:u w:val="single"/>
    </w:rPr>
  </w:style>
  <w:style w:type="paragraph" w:styleId="Revision">
    <w:name w:val="Revision"/>
    <w:hidden/>
    <w:uiPriority w:val="99"/>
    <w:semiHidden/>
    <w:rsid w:val="009E32CA"/>
    <w:pPr>
      <w:spacing w:after="0" w:line="240" w:lineRule="auto"/>
    </w:pPr>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D31F3D"/>
    <w:pPr>
      <w:widowControl/>
    </w:pPr>
    <w:rPr>
      <w:rFonts w:asciiTheme="minorHAnsi" w:eastAsiaTheme="minorEastAsia" w:hAnsiTheme="minorHAnsi" w:cstheme="minorBidi"/>
      <w:sz w:val="20"/>
      <w:lang w:eastAsia="zh-CN"/>
    </w:rPr>
  </w:style>
  <w:style w:type="character" w:customStyle="1" w:styleId="FootnoteTextChar">
    <w:name w:val="Footnote Text Char"/>
    <w:basedOn w:val="DefaultParagraphFont"/>
    <w:link w:val="FootnoteText"/>
    <w:uiPriority w:val="99"/>
    <w:semiHidden/>
    <w:rsid w:val="00D31F3D"/>
    <w:rPr>
      <w:rFonts w:eastAsiaTheme="minorEastAsia"/>
      <w:sz w:val="20"/>
      <w:szCs w:val="20"/>
      <w:lang w:eastAsia="zh-CN"/>
    </w:rPr>
  </w:style>
  <w:style w:type="table" w:styleId="TableGrid">
    <w:name w:val="Table Grid"/>
    <w:basedOn w:val="TableNormal"/>
    <w:uiPriority w:val="39"/>
    <w:rsid w:val="00380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C5650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3-Accent3">
    <w:name w:val="List Table 3 Accent 3"/>
    <w:basedOn w:val="TableNormal"/>
    <w:uiPriority w:val="48"/>
    <w:rsid w:val="00C56500"/>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6Colorful">
    <w:name w:val="List Table 6 Colorful"/>
    <w:basedOn w:val="TableNormal"/>
    <w:uiPriority w:val="51"/>
    <w:rsid w:val="00C5650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f01">
    <w:name w:val="cf01"/>
    <w:basedOn w:val="DefaultParagraphFont"/>
    <w:rsid w:val="00872C48"/>
    <w:rPr>
      <w:rFonts w:ascii="Segoe UI" w:hAnsi="Segoe UI" w:cs="Segoe UI" w:hint="default"/>
      <w:sz w:val="18"/>
      <w:szCs w:val="18"/>
    </w:rPr>
  </w:style>
  <w:style w:type="paragraph" w:styleId="Header">
    <w:name w:val="header"/>
    <w:basedOn w:val="Normal"/>
    <w:link w:val="HeaderChar"/>
    <w:uiPriority w:val="99"/>
    <w:semiHidden/>
    <w:unhideWhenUsed/>
    <w:rsid w:val="00832F9D"/>
    <w:pPr>
      <w:tabs>
        <w:tab w:val="center" w:pos="4680"/>
        <w:tab w:val="right" w:pos="9360"/>
      </w:tabs>
    </w:pPr>
  </w:style>
  <w:style w:type="character" w:customStyle="1" w:styleId="HeaderChar">
    <w:name w:val="Header Char"/>
    <w:basedOn w:val="DefaultParagraphFont"/>
    <w:link w:val="Header"/>
    <w:uiPriority w:val="99"/>
    <w:semiHidden/>
    <w:rsid w:val="00832F9D"/>
    <w:rPr>
      <w:rFonts w:ascii="Times New Roman" w:eastAsia="Times New Roman" w:hAnsi="Times New Roman" w:cs="Times New Roman"/>
      <w:sz w:val="24"/>
      <w:szCs w:val="20"/>
    </w:rPr>
  </w:style>
  <w:style w:type="paragraph" w:styleId="ListParagraph">
    <w:name w:val="List Paragraph"/>
    <w:basedOn w:val="Normal"/>
    <w:uiPriority w:val="34"/>
    <w:qFormat/>
    <w:rsid w:val="008B1578"/>
    <w:pPr>
      <w:ind w:left="720"/>
      <w:contextualSpacing/>
    </w:pPr>
  </w:style>
  <w:style w:type="paragraph" w:styleId="CommentSubject">
    <w:name w:val="annotation subject"/>
    <w:basedOn w:val="CommentText"/>
    <w:next w:val="CommentText"/>
    <w:link w:val="CommentSubjectChar"/>
    <w:uiPriority w:val="99"/>
    <w:semiHidden/>
    <w:unhideWhenUsed/>
    <w:rsid w:val="00903AEC"/>
    <w:rPr>
      <w:b/>
      <w:bCs/>
    </w:rPr>
  </w:style>
  <w:style w:type="character" w:customStyle="1" w:styleId="CommentSubjectChar">
    <w:name w:val="Comment Subject Char"/>
    <w:basedOn w:val="CommentTextChar"/>
    <w:link w:val="CommentSubject"/>
    <w:uiPriority w:val="99"/>
    <w:semiHidden/>
    <w:rsid w:val="00903AE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pub/hom/pdf/cpi-201802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0ce505-e39d-4fca-82e8-1e98afc3311a">
      <Terms xmlns="http://schemas.microsoft.com/office/infopath/2007/PartnerControls"/>
    </lcf76f155ced4ddcb4097134ff3c332f>
    <TaxCatchAll xmlns="9edda27f-c574-48e3-8296-af92236c6f1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A62949C203DB244BCC6B17E86EA9E5F" ma:contentTypeVersion="16" ma:contentTypeDescription="Create a new document." ma:contentTypeScope="" ma:versionID="be86890a5b92ba6e8588a8746b7c2177">
  <xsd:schema xmlns:xsd="http://www.w3.org/2001/XMLSchema" xmlns:xs="http://www.w3.org/2001/XMLSchema" xmlns:p="http://schemas.microsoft.com/office/2006/metadata/properties" xmlns:ns2="2a0ce505-e39d-4fca-82e8-1e98afc3311a" xmlns:ns3="9edda27f-c574-48e3-8296-af92236c6f10" targetNamespace="http://schemas.microsoft.com/office/2006/metadata/properties" ma:root="true" ma:fieldsID="4a7f15b0bc2ec3dfa794a71a3501a14b" ns2:_="" ns3:_="">
    <xsd:import namespace="2a0ce505-e39d-4fca-82e8-1e98afc3311a"/>
    <xsd:import namespace="9edda27f-c574-48e3-8296-af92236c6f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ce505-e39d-4fca-82e8-1e98afc3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da27f-c574-48e3-8296-af92236c6f1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d5cbd48-1a33-4272-a019-dd75a0e18eed}" ma:internalName="TaxCatchAll" ma:showField="CatchAllData" ma:web="9edda27f-c574-48e3-8296-af92236c6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0FF63F-410F-4AF6-A16C-1AB604E0394E}">
  <ds:schemaRefs>
    <ds:schemaRef ds:uri="http://schemas.microsoft.com/sharepoint/v3/contenttype/forms"/>
  </ds:schemaRefs>
</ds:datastoreItem>
</file>

<file path=customXml/itemProps2.xml><?xml version="1.0" encoding="utf-8"?>
<ds:datastoreItem xmlns:ds="http://schemas.openxmlformats.org/officeDocument/2006/customXml" ds:itemID="{15FAFB81-507E-4077-8D7F-02D8A7E68FCE}">
  <ds:schemaRefs>
    <ds:schemaRef ds:uri="http://schemas.microsoft.com/office/2006/metadata/properties"/>
    <ds:schemaRef ds:uri="http://schemas.microsoft.com/office/infopath/2007/PartnerControls"/>
    <ds:schemaRef ds:uri="2a0ce505-e39d-4fca-82e8-1e98afc3311a"/>
    <ds:schemaRef ds:uri="9edda27f-c574-48e3-8296-af92236c6f10"/>
  </ds:schemaRefs>
</ds:datastoreItem>
</file>

<file path=customXml/itemProps3.xml><?xml version="1.0" encoding="utf-8"?>
<ds:datastoreItem xmlns:ds="http://schemas.openxmlformats.org/officeDocument/2006/customXml" ds:itemID="{D0AB878B-9F5A-4BBE-A08C-ABC8A895100C}">
  <ds:schemaRefs>
    <ds:schemaRef ds:uri="http://schemas.openxmlformats.org/officeDocument/2006/bibliography"/>
  </ds:schemaRefs>
</ds:datastoreItem>
</file>

<file path=customXml/itemProps4.xml><?xml version="1.0" encoding="utf-8"?>
<ds:datastoreItem xmlns:ds="http://schemas.openxmlformats.org/officeDocument/2006/customXml" ds:itemID="{72AA56AE-C0D3-46DC-852F-BCDAA432C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ce505-e39d-4fca-82e8-1e98afc3311a"/>
    <ds:schemaRef ds:uri="9edda27f-c574-48e3-8296-af92236c6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115</TotalTime>
  <Pages>6</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U.S. Department of Housing and Urban Development</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Dorfman, Daniel J</dc:creator>
  <cp:keywords/>
  <dc:description/>
  <cp:lastModifiedBy>Dorfman, Daniel J</cp:lastModifiedBy>
  <cp:revision>85</cp:revision>
  <dcterms:created xsi:type="dcterms:W3CDTF">2024-11-22T17:16:00Z</dcterms:created>
  <dcterms:modified xsi:type="dcterms:W3CDTF">2024-12-02T15:59:00Z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0x010100FA62949C203DB244BCC6B17E86EA9E5F</vt:lpwstr>
  </property>
  <property fmtid="{D5CDD505-2E9C-101B-9397-08002B2CF9AE}" pid="3" name="MediaServiceImageTags">
    <vt:lpwstr/>
  </property>
</Properties>
</file>